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F2791" w14:textId="77777777" w:rsidR="00C2679F" w:rsidRPr="00C2679F" w:rsidRDefault="009E3566" w:rsidP="00C2679F">
      <w:pPr>
        <w:pStyle w:val="Tittel"/>
      </w:pPr>
      <w:r>
        <w:t xml:space="preserve">Explaining the rapid diffusion of battery electric vehicles </w:t>
      </w:r>
      <w:bookmarkStart w:id="0" w:name="_GoBack"/>
      <w:bookmarkEnd w:id="0"/>
      <w:r>
        <w:t>in Norway</w:t>
      </w:r>
    </w:p>
    <w:p w14:paraId="63FDB8C5" w14:textId="77777777" w:rsidR="009E3566" w:rsidRDefault="009E3566" w:rsidP="009E3566">
      <w:pPr>
        <w:jc w:val="center"/>
      </w:pPr>
      <w:r>
        <w:t>Erik Figenbaum</w:t>
      </w:r>
    </w:p>
    <w:p w14:paraId="17A64844" w14:textId="77777777" w:rsidR="009E3566" w:rsidRDefault="009E3566" w:rsidP="009E3566">
      <w:pPr>
        <w:jc w:val="center"/>
      </w:pPr>
      <w:r>
        <w:t>Marika Kolbenstvedt,</w:t>
      </w:r>
    </w:p>
    <w:p w14:paraId="612F255A" w14:textId="77777777" w:rsidR="009E3566" w:rsidRDefault="009E3566" w:rsidP="009E3566">
      <w:pPr>
        <w:jc w:val="center"/>
      </w:pPr>
      <w:r>
        <w:t>Institute of Transport Economics, Oslo, Norway.</w:t>
      </w:r>
    </w:p>
    <w:p w14:paraId="68B8E6ED" w14:textId="77777777" w:rsidR="00C2679F" w:rsidRPr="00035763" w:rsidRDefault="00C2679F" w:rsidP="00C2679F">
      <w:pPr>
        <w:jc w:val="both"/>
        <w:rPr>
          <w:rFonts w:ascii="Calibri" w:hAnsi="Calibri"/>
          <w:sz w:val="22"/>
          <w:szCs w:val="22"/>
        </w:rPr>
      </w:pPr>
    </w:p>
    <w:p w14:paraId="18800E42" w14:textId="77777777" w:rsidR="00772E40" w:rsidRPr="00035C49" w:rsidRDefault="00772E40" w:rsidP="00772E40">
      <w:pPr>
        <w:pStyle w:val="Overskrift1"/>
      </w:pPr>
      <w:r w:rsidRPr="00035C49">
        <w:t>Introduction</w:t>
      </w:r>
    </w:p>
    <w:p w14:paraId="52710F65" w14:textId="2E7AD25C" w:rsidR="00E269C3" w:rsidRDefault="00C236BC" w:rsidP="00C236BC">
      <w:r w:rsidRPr="00035C49">
        <w:t xml:space="preserve">The purpose of this paper is to investigate </w:t>
      </w:r>
      <w:r w:rsidR="00AB1C2A" w:rsidRPr="00035C49">
        <w:t>how</w:t>
      </w:r>
      <w:r w:rsidRPr="00035C49">
        <w:t xml:space="preserve"> Battery Electric Vehicles </w:t>
      </w:r>
      <w:r w:rsidR="00C0334D" w:rsidRPr="00035C49">
        <w:t xml:space="preserve">(BEVs) </w:t>
      </w:r>
      <w:r w:rsidRPr="00035C49">
        <w:t>entered the Norwegian automotive market</w:t>
      </w:r>
      <w:r w:rsidR="00AB1C2A" w:rsidRPr="00035C49">
        <w:t xml:space="preserve"> from 2010 and could reach</w:t>
      </w:r>
      <w:r w:rsidRPr="00035C49">
        <w:t xml:space="preserve"> market shares </w:t>
      </w:r>
      <w:r w:rsidR="00AB1C2A" w:rsidRPr="00035C49">
        <w:t xml:space="preserve">of 18% and </w:t>
      </w:r>
      <w:r w:rsidR="00403848" w:rsidRPr="00035C49">
        <w:t>a fleet penetration of 2.8%</w:t>
      </w:r>
      <w:r w:rsidR="00BE1342">
        <w:t xml:space="preserve"> </w:t>
      </w:r>
      <w:r w:rsidR="00BE1342" w:rsidRPr="00035C49">
        <w:t>already by 2015</w:t>
      </w:r>
      <w:r w:rsidRPr="00035C49">
        <w:t>, level</w:t>
      </w:r>
      <w:r w:rsidR="00AB1C2A" w:rsidRPr="00035C49">
        <w:t>s</w:t>
      </w:r>
      <w:r w:rsidRPr="00035C49">
        <w:t xml:space="preserve"> not seen anywhere else in the world</w:t>
      </w:r>
      <w:r w:rsidR="00FE578D">
        <w:t>.</w:t>
      </w:r>
      <w:r w:rsidR="00E269C3">
        <w:t xml:space="preserve"> </w:t>
      </w:r>
      <w:r w:rsidR="00E269C3" w:rsidRPr="00035C49">
        <w:t xml:space="preserve">Most other countries have market shares less than 1%, as seen in figure 1, and fleets are </w:t>
      </w:r>
      <w:r w:rsidR="00E269C3">
        <w:t xml:space="preserve">mostly </w:t>
      </w:r>
      <w:r w:rsidR="00E269C3" w:rsidRPr="00035C49">
        <w:t>the dominating adopters</w:t>
      </w:r>
      <w:r w:rsidR="00F2614C">
        <w:t xml:space="preserve"> as opposed to Norway where consumers own 85% of BEVs</w:t>
      </w:r>
      <w:r w:rsidR="00E269C3" w:rsidRPr="00035C49">
        <w:t xml:space="preserve">. </w:t>
      </w:r>
      <w:r w:rsidR="00FE578D">
        <w:t xml:space="preserve"> </w:t>
      </w:r>
    </w:p>
    <w:p w14:paraId="6E6AD87A" w14:textId="77777777" w:rsidR="00E269C3" w:rsidRPr="00035C49" w:rsidRDefault="00E269C3" w:rsidP="00E269C3">
      <w:r w:rsidRPr="00035C49">
        <w:rPr>
          <w:noProof/>
          <w:lang w:val="nb-NO" w:eastAsia="nb-NO"/>
        </w:rPr>
        <w:drawing>
          <wp:inline distT="0" distB="0" distL="0" distR="0" wp14:anchorId="50E3B2E5" wp14:editId="4A52DDA6">
            <wp:extent cx="4225447" cy="2682340"/>
            <wp:effectExtent l="0" t="0" r="3810" b="381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38" t="13009" r="1434" b="1964"/>
                    <a:stretch/>
                  </pic:blipFill>
                  <pic:spPr bwMode="auto">
                    <a:xfrm>
                      <a:off x="0" y="0"/>
                      <a:ext cx="4262154" cy="2705642"/>
                    </a:xfrm>
                    <a:prstGeom prst="rect">
                      <a:avLst/>
                    </a:prstGeom>
                    <a:noFill/>
                    <a:ln>
                      <a:noFill/>
                    </a:ln>
                    <a:extLst>
                      <a:ext uri="{53640926-AAD7-44D8-BBD7-CCE9431645EC}">
                        <a14:shadowObscured xmlns:a14="http://schemas.microsoft.com/office/drawing/2010/main"/>
                      </a:ext>
                    </a:extLst>
                  </pic:spPr>
                </pic:pic>
              </a:graphicData>
            </a:graphic>
          </wp:inline>
        </w:drawing>
      </w:r>
    </w:p>
    <w:p w14:paraId="13FFA182" w14:textId="77777777" w:rsidR="00E269C3" w:rsidRPr="00035C49" w:rsidRDefault="00E269C3" w:rsidP="00E269C3">
      <w:pPr>
        <w:rPr>
          <w:i/>
          <w:sz w:val="18"/>
          <w:szCs w:val="16"/>
        </w:rPr>
      </w:pPr>
      <w:r w:rsidRPr="00035C49">
        <w:rPr>
          <w:i/>
          <w:sz w:val="18"/>
          <w:szCs w:val="16"/>
        </w:rPr>
        <w:t>Figure 1 BEV market shares in Europe, USA and Japan 2011-2015. Percent. Sources: National statistic</w:t>
      </w:r>
      <w:r>
        <w:rPr>
          <w:i/>
          <w:sz w:val="18"/>
          <w:szCs w:val="16"/>
        </w:rPr>
        <w:t>s,</w:t>
      </w:r>
      <w:r w:rsidRPr="00035C49">
        <w:rPr>
          <w:i/>
          <w:sz w:val="18"/>
          <w:szCs w:val="16"/>
        </w:rPr>
        <w:t xml:space="preserve"> webpages, historical sales material</w:t>
      </w:r>
      <w:r>
        <w:rPr>
          <w:i/>
          <w:sz w:val="18"/>
          <w:szCs w:val="16"/>
        </w:rPr>
        <w:t>, f</w:t>
      </w:r>
      <w:r w:rsidRPr="00035C49">
        <w:rPr>
          <w:i/>
          <w:sz w:val="18"/>
          <w:szCs w:val="16"/>
        </w:rPr>
        <w:t>or detail</w:t>
      </w:r>
      <w:r>
        <w:rPr>
          <w:i/>
          <w:sz w:val="18"/>
          <w:szCs w:val="16"/>
        </w:rPr>
        <w:t>s</w:t>
      </w:r>
      <w:r w:rsidRPr="00035C49">
        <w:rPr>
          <w:i/>
          <w:sz w:val="18"/>
          <w:szCs w:val="16"/>
        </w:rPr>
        <w:t xml:space="preserve"> see Figenbaum </w:t>
      </w:r>
      <w:r>
        <w:rPr>
          <w:i/>
          <w:sz w:val="18"/>
          <w:szCs w:val="16"/>
        </w:rPr>
        <w:t>and Kolbenstvedt</w:t>
      </w:r>
      <w:r w:rsidRPr="00035C49">
        <w:rPr>
          <w:i/>
          <w:sz w:val="18"/>
          <w:szCs w:val="16"/>
        </w:rPr>
        <w:t xml:space="preserve"> (2015).</w:t>
      </w:r>
    </w:p>
    <w:p w14:paraId="1C373B90" w14:textId="17A2EB54" w:rsidR="00E269C3" w:rsidRDefault="00E269C3" w:rsidP="00C236BC"/>
    <w:p w14:paraId="057E6E3D" w14:textId="30762BCD" w:rsidR="00F87D34" w:rsidRDefault="00FE578D" w:rsidP="00C236BC">
      <w:r>
        <w:t xml:space="preserve">The article uses </w:t>
      </w:r>
      <w:r w:rsidRPr="00035C49">
        <w:t>Rogers’ (</w:t>
      </w:r>
      <w:r>
        <w:t xml:space="preserve">1962, </w:t>
      </w:r>
      <w:r w:rsidRPr="00035C49">
        <w:t>1995) theory of diffusion of innovations</w:t>
      </w:r>
      <w:r>
        <w:t xml:space="preserve"> </w:t>
      </w:r>
      <w:r w:rsidR="009D217F">
        <w:t xml:space="preserve">as a framework </w:t>
      </w:r>
      <w:r>
        <w:t>to u</w:t>
      </w:r>
      <w:r w:rsidRPr="00035C49">
        <w:t xml:space="preserve">nderstand the interplay between the society, the technology and the users from different perspectives </w:t>
      </w:r>
      <w:r w:rsidR="00FA04D1">
        <w:t xml:space="preserve">and </w:t>
      </w:r>
      <w:r w:rsidRPr="00035C49">
        <w:t>to</w:t>
      </w:r>
      <w:r w:rsidR="00FA04D1">
        <w:t xml:space="preserve"> </w:t>
      </w:r>
      <w:r w:rsidRPr="00035C49">
        <w:t xml:space="preserve">identify efficient measures to support diffusion </w:t>
      </w:r>
      <w:r w:rsidR="00FA04D1">
        <w:t xml:space="preserve">processes. </w:t>
      </w:r>
      <w:r w:rsidR="00C236BC" w:rsidRPr="00035C49">
        <w:t xml:space="preserve">The market expansion </w:t>
      </w:r>
      <w:r w:rsidR="00403848" w:rsidRPr="00035C49">
        <w:t>has</w:t>
      </w:r>
      <w:r w:rsidR="00C236BC" w:rsidRPr="00035C49">
        <w:t xml:space="preserve"> been assisted by generou</w:t>
      </w:r>
      <w:r w:rsidR="00950846" w:rsidRPr="00035C49">
        <w:t>s incentives towards BEV buyers</w:t>
      </w:r>
      <w:r w:rsidR="00BE1342">
        <w:t>, s</w:t>
      </w:r>
      <w:r w:rsidR="00950846" w:rsidRPr="00035C49">
        <w:t>ome of the</w:t>
      </w:r>
      <w:r w:rsidR="00BE1342">
        <w:t xml:space="preserve">m </w:t>
      </w:r>
      <w:r w:rsidR="00AB1C2A" w:rsidRPr="00035C49">
        <w:t xml:space="preserve">available </w:t>
      </w:r>
      <w:r w:rsidR="00950846" w:rsidRPr="00035C49">
        <w:t xml:space="preserve">since the 1990s. </w:t>
      </w:r>
      <w:r w:rsidR="00BE1342" w:rsidRPr="00035C49">
        <w:t xml:space="preserve">The article focuses </w:t>
      </w:r>
      <w:r w:rsidR="00F87D34">
        <w:t>the effect and</w:t>
      </w:r>
      <w:r w:rsidR="00F87D34" w:rsidRPr="00035C49">
        <w:t xml:space="preserve"> effectiveness of these incentives </w:t>
      </w:r>
      <w:r w:rsidR="00F87D34">
        <w:t xml:space="preserve">on </w:t>
      </w:r>
      <w:r w:rsidR="00BE1342" w:rsidRPr="00035C49">
        <w:t>the concrete diffusion locally, regionally and nationwide among different car user groups</w:t>
      </w:r>
      <w:r w:rsidR="006A14CF">
        <w:t>,</w:t>
      </w:r>
      <w:r w:rsidR="00BE1342" w:rsidRPr="00035C49">
        <w:t xml:space="preserve"> and in the motor industry.</w:t>
      </w:r>
      <w:r w:rsidR="00ED1938">
        <w:t xml:space="preserve"> </w:t>
      </w:r>
      <w:r w:rsidR="00671332">
        <w:t>A</w:t>
      </w:r>
      <w:r w:rsidR="00C236BC" w:rsidRPr="00035C49">
        <w:t xml:space="preserve"> </w:t>
      </w:r>
      <w:r w:rsidR="00F87D34">
        <w:t xml:space="preserve">broader </w:t>
      </w:r>
      <w:r w:rsidR="00671332">
        <w:t xml:space="preserve">presentation of </w:t>
      </w:r>
      <w:r w:rsidR="00F2614C">
        <w:t>the political processes</w:t>
      </w:r>
      <w:r w:rsidR="00F87D34">
        <w:t xml:space="preserve"> </w:t>
      </w:r>
      <w:r w:rsidR="00C236BC" w:rsidRPr="00035C49">
        <w:t>behind these incentives</w:t>
      </w:r>
      <w:r w:rsidR="00F87D34">
        <w:t xml:space="preserve"> is </w:t>
      </w:r>
      <w:r w:rsidR="00671332">
        <w:t>found in</w:t>
      </w:r>
      <w:r w:rsidR="00C236BC" w:rsidRPr="00035C49">
        <w:t xml:space="preserve"> </w:t>
      </w:r>
      <w:r w:rsidR="00C236BC" w:rsidRPr="00D83599">
        <w:t>Figenbaum (2016)</w:t>
      </w:r>
      <w:r w:rsidR="00F2614C">
        <w:t xml:space="preserve"> and Figenbaum and Kolbenstvedt (2015</w:t>
      </w:r>
      <w:r w:rsidR="009D217F">
        <w:t>a</w:t>
      </w:r>
      <w:r w:rsidR="00F2614C">
        <w:t>)</w:t>
      </w:r>
      <w:r w:rsidR="00F87D34">
        <w:t>.</w:t>
      </w:r>
    </w:p>
    <w:p w14:paraId="5E57D427" w14:textId="77777777" w:rsidR="00FA04D1" w:rsidRDefault="00FA04D1" w:rsidP="00C236BC"/>
    <w:p w14:paraId="2C9982C2" w14:textId="478545F9" w:rsidR="005B2D40" w:rsidRPr="00C80645" w:rsidRDefault="005B2D40" w:rsidP="005B2D40">
      <w:r w:rsidRPr="00C80645">
        <w:t>The following questions will be investigated</w:t>
      </w:r>
      <w:r w:rsidR="00F2614C">
        <w:t xml:space="preserve"> in this paper</w:t>
      </w:r>
      <w:r w:rsidRPr="00C80645">
        <w:t>:</w:t>
      </w:r>
    </w:p>
    <w:p w14:paraId="183A1370" w14:textId="77777777" w:rsidR="005B2D40" w:rsidRPr="00C80645" w:rsidRDefault="005B2D40" w:rsidP="005B2D40">
      <w:pPr>
        <w:pStyle w:val="Listeavsnitt"/>
        <w:numPr>
          <w:ilvl w:val="0"/>
          <w:numId w:val="18"/>
        </w:numPr>
        <w:spacing w:line="240" w:lineRule="auto"/>
        <w:contextualSpacing/>
        <w:rPr>
          <w:sz w:val="20"/>
        </w:rPr>
      </w:pPr>
      <w:r w:rsidRPr="00C80645">
        <w:rPr>
          <w:sz w:val="20"/>
        </w:rPr>
        <w:t xml:space="preserve">How did policy and incentives influence the relative advantage of BEVs? </w:t>
      </w:r>
    </w:p>
    <w:p w14:paraId="070863B1" w14:textId="77777777" w:rsidR="005B2D40" w:rsidRPr="00C80645" w:rsidRDefault="005B2D40" w:rsidP="005B2D40">
      <w:pPr>
        <w:pStyle w:val="Listeavsnitt"/>
        <w:numPr>
          <w:ilvl w:val="0"/>
          <w:numId w:val="18"/>
        </w:numPr>
        <w:spacing w:line="240" w:lineRule="auto"/>
        <w:contextualSpacing/>
        <w:rPr>
          <w:sz w:val="20"/>
        </w:rPr>
      </w:pPr>
      <w:r w:rsidRPr="00C80645">
        <w:rPr>
          <w:sz w:val="20"/>
        </w:rPr>
        <w:t>How has BEVs diffused regionally and among different users and markets?</w:t>
      </w:r>
    </w:p>
    <w:p w14:paraId="67E53306" w14:textId="77777777" w:rsidR="005B2D40" w:rsidRPr="00C80645" w:rsidRDefault="005B2D40" w:rsidP="005B2D40">
      <w:pPr>
        <w:pStyle w:val="Listeavsnitt"/>
        <w:numPr>
          <w:ilvl w:val="0"/>
          <w:numId w:val="18"/>
        </w:numPr>
        <w:spacing w:line="240" w:lineRule="auto"/>
        <w:contextualSpacing/>
        <w:rPr>
          <w:sz w:val="20"/>
        </w:rPr>
      </w:pPr>
      <w:r w:rsidRPr="00C80645">
        <w:rPr>
          <w:sz w:val="20"/>
        </w:rPr>
        <w:t>Which technical, societal, individual and communicative factors affected diffusion?</w:t>
      </w:r>
    </w:p>
    <w:p w14:paraId="5B01B859" w14:textId="77777777" w:rsidR="00B0697A" w:rsidRPr="00035C49" w:rsidRDefault="00B0697A" w:rsidP="00C236BC">
      <w:pPr>
        <w:pStyle w:val="Overskrift1"/>
      </w:pPr>
      <w:r w:rsidRPr="00035C49">
        <w:t>Norwegian context</w:t>
      </w:r>
    </w:p>
    <w:p w14:paraId="6C0A02A0" w14:textId="27DF6D28" w:rsidR="00E77733" w:rsidRPr="00035C49" w:rsidRDefault="008E125D" w:rsidP="008E125D">
      <w:r w:rsidRPr="00035C49">
        <w:t xml:space="preserve">The </w:t>
      </w:r>
      <w:r w:rsidR="00E269C3">
        <w:t xml:space="preserve">successful </w:t>
      </w:r>
      <w:r w:rsidRPr="00035C49">
        <w:t xml:space="preserve">electric vehicle market in Norway is heavily incentivized as seen in table </w:t>
      </w:r>
      <w:r w:rsidR="00E7297A" w:rsidRPr="00035C49">
        <w:t>1</w:t>
      </w:r>
      <w:r w:rsidR="00151BB7">
        <w:t xml:space="preserve">. The economic incentives, </w:t>
      </w:r>
      <w:r w:rsidR="006A14CF">
        <w:t>i.e. the exemptions from the</w:t>
      </w:r>
      <w:r w:rsidR="00151BB7">
        <w:t xml:space="preserve"> vehicle registration taxes and </w:t>
      </w:r>
      <w:r w:rsidR="006A14CF">
        <w:t xml:space="preserve">the </w:t>
      </w:r>
      <w:r w:rsidR="00151BB7">
        <w:t>VAT, has made BEVs competitive against Internal Combustion Engine Vehicles (ICEV</w:t>
      </w:r>
      <w:r w:rsidR="006A14CF">
        <w:t>s</w:t>
      </w:r>
      <w:r w:rsidR="00151BB7">
        <w:t>)</w:t>
      </w:r>
      <w:r w:rsidRPr="00035C49">
        <w:t>.</w:t>
      </w:r>
      <w:r w:rsidR="007D53F3" w:rsidRPr="00035C49">
        <w:t xml:space="preserve"> </w:t>
      </w:r>
      <w:r w:rsidR="001C7B34" w:rsidRPr="00035C49">
        <w:t xml:space="preserve">In the 1990s </w:t>
      </w:r>
      <w:r w:rsidR="00E77733" w:rsidRPr="00035C49">
        <w:t>incentives were introduced to allow experimentation with electric vehicle</w:t>
      </w:r>
      <w:r w:rsidR="00950846" w:rsidRPr="00035C49">
        <w:t>s. F</w:t>
      </w:r>
      <w:r w:rsidR="001C7B34" w:rsidRPr="00035C49">
        <w:t xml:space="preserve">rom </w:t>
      </w:r>
      <w:r w:rsidR="00E77733" w:rsidRPr="00035C49">
        <w:t xml:space="preserve">around 2000 a growing </w:t>
      </w:r>
      <w:r w:rsidR="00950846" w:rsidRPr="00035C49">
        <w:t>B</w:t>
      </w:r>
      <w:r w:rsidR="00E77733" w:rsidRPr="00035C49">
        <w:t>EV industry in Norway</w:t>
      </w:r>
      <w:r w:rsidR="00950846" w:rsidRPr="00035C49">
        <w:t xml:space="preserve"> was nurtured. From 2</w:t>
      </w:r>
      <w:r w:rsidR="00E77733" w:rsidRPr="00035C49">
        <w:t xml:space="preserve">010 the focus shifted towards supporting climate policy goals, as </w:t>
      </w:r>
      <w:r w:rsidR="001C7B34" w:rsidRPr="00035C49">
        <w:t>discussed</w:t>
      </w:r>
      <w:r w:rsidR="00E77733" w:rsidRPr="00035C49">
        <w:t xml:space="preserve"> in </w:t>
      </w:r>
      <w:r w:rsidR="00E77733" w:rsidRPr="009D217F">
        <w:t>Figenbaum et al (2015)</w:t>
      </w:r>
      <w:r w:rsidR="00267A48" w:rsidRPr="009D217F">
        <w:t>.</w:t>
      </w:r>
      <w:r w:rsidR="00FA04D1">
        <w:t xml:space="preserve"> </w:t>
      </w:r>
      <w:r w:rsidR="00267A48" w:rsidRPr="00035C49">
        <w:t xml:space="preserve"> A target that the average new vehicle shall emit less than 85</w:t>
      </w:r>
      <w:r w:rsidR="006929EF">
        <w:t>g</w:t>
      </w:r>
      <w:r w:rsidR="00267A48" w:rsidRPr="00035C49">
        <w:t>/km in 2020 was introduced in 2012</w:t>
      </w:r>
      <w:r w:rsidR="009D217F">
        <w:t xml:space="preserve"> </w:t>
      </w:r>
      <w:r w:rsidR="009D217F">
        <w:lastRenderedPageBreak/>
        <w:t>(Norwegian Climate Policy 2012)</w:t>
      </w:r>
      <w:r w:rsidR="00E77733" w:rsidRPr="00035C49">
        <w:t xml:space="preserve">. </w:t>
      </w:r>
      <w:r w:rsidR="005B2D40" w:rsidRPr="00035C49">
        <w:t>In Norway road transport account</w:t>
      </w:r>
      <w:r w:rsidR="005B2D40">
        <w:t>s</w:t>
      </w:r>
      <w:r w:rsidR="005B2D40" w:rsidRPr="00035C49">
        <w:t xml:space="preserve"> for </w:t>
      </w:r>
      <w:r w:rsidR="005B2D40">
        <w:t>appr.</w:t>
      </w:r>
      <w:r w:rsidR="005B2D40" w:rsidRPr="00035C49">
        <w:t xml:space="preserve">19% of </w:t>
      </w:r>
      <w:r w:rsidR="005B2D40">
        <w:t xml:space="preserve">the GHG </w:t>
      </w:r>
      <w:r w:rsidR="005B2D40" w:rsidRPr="00035C49">
        <w:t xml:space="preserve">emissions </w:t>
      </w:r>
      <w:r w:rsidR="005B2D40">
        <w:t>(</w:t>
      </w:r>
      <w:r w:rsidR="005B2D40" w:rsidRPr="00035C49">
        <w:t>Norwegian Environment agency 2014) and must therefore contribute substantially</w:t>
      </w:r>
      <w:r w:rsidR="005B2D40">
        <w:t xml:space="preserve"> towards national targets for reduction of greenhouse gas emissions (GHG).</w:t>
      </w:r>
      <w:r w:rsidR="005B2D40" w:rsidRPr="00035C49">
        <w:t xml:space="preserve"> </w:t>
      </w:r>
      <w:r w:rsidR="009D217F">
        <w:t>About 96</w:t>
      </w:r>
      <w:r w:rsidR="005B2D40">
        <w:t>% of Norway’s electricity is produced with renewable hydroelectric power</w:t>
      </w:r>
      <w:r w:rsidR="00B54C3A">
        <w:t xml:space="preserve"> (</w:t>
      </w:r>
      <w:r w:rsidR="009D217F">
        <w:t>Figenbaum et al 2015</w:t>
      </w:r>
      <w:r w:rsidR="00B54C3A">
        <w:t>). When r</w:t>
      </w:r>
      <w:r w:rsidR="00B54C3A" w:rsidRPr="00035C49">
        <w:rPr>
          <w:rFonts w:cs="Garamond"/>
        </w:rPr>
        <w:t>eplacing a combustion engine vehicle with a BEV</w:t>
      </w:r>
      <w:r w:rsidR="00B54C3A">
        <w:rPr>
          <w:rFonts w:cs="Garamond"/>
        </w:rPr>
        <w:t>,</w:t>
      </w:r>
      <w:r w:rsidR="00B54C3A" w:rsidRPr="00035C49">
        <w:rPr>
          <w:rFonts w:cs="Garamond"/>
        </w:rPr>
        <w:t xml:space="preserve"> </w:t>
      </w:r>
      <w:r w:rsidR="00B54C3A">
        <w:rPr>
          <w:rFonts w:cs="Garamond"/>
        </w:rPr>
        <w:t>GHG</w:t>
      </w:r>
      <w:r w:rsidR="00B54C3A" w:rsidRPr="00035C49">
        <w:rPr>
          <w:rFonts w:cs="Garamond"/>
        </w:rPr>
        <w:t xml:space="preserve"> emissions </w:t>
      </w:r>
      <w:r w:rsidR="00B54C3A">
        <w:rPr>
          <w:rFonts w:cs="Garamond"/>
        </w:rPr>
        <w:t xml:space="preserve">will independent of the national electricity mix, be reduced </w:t>
      </w:r>
      <w:r w:rsidR="00B54C3A" w:rsidRPr="00035C49">
        <w:rPr>
          <w:rFonts w:cs="Garamond"/>
        </w:rPr>
        <w:t>with 100%</w:t>
      </w:r>
      <w:r w:rsidR="00B54C3A">
        <w:rPr>
          <w:rFonts w:cs="Garamond"/>
        </w:rPr>
        <w:t xml:space="preserve"> if</w:t>
      </w:r>
      <w:r w:rsidR="00B54C3A" w:rsidRPr="00035C49">
        <w:rPr>
          <w:rFonts w:cs="Garamond"/>
        </w:rPr>
        <w:t xml:space="preserve"> the cap of emissions in the European Union Emission trading scheme for </w:t>
      </w:r>
      <w:r w:rsidR="00B54C3A">
        <w:rPr>
          <w:rFonts w:cs="Garamond"/>
        </w:rPr>
        <w:t xml:space="preserve">GHGs </w:t>
      </w:r>
      <w:r w:rsidR="00B54C3A" w:rsidRPr="00035C49">
        <w:rPr>
          <w:rFonts w:cs="Garamond"/>
        </w:rPr>
        <w:t xml:space="preserve">is effective </w:t>
      </w:r>
      <w:r w:rsidR="00B54C3A" w:rsidRPr="000B410C">
        <w:rPr>
          <w:rFonts w:cs="Garamond"/>
        </w:rPr>
        <w:t>(</w:t>
      </w:r>
      <w:r w:rsidR="000B410C" w:rsidRPr="000B410C">
        <w:rPr>
          <w:rFonts w:cs="Garamond"/>
        </w:rPr>
        <w:t>EU ETS 2015</w:t>
      </w:r>
      <w:r w:rsidR="001E016E">
        <w:rPr>
          <w:rFonts w:cs="Garamond"/>
        </w:rPr>
        <w:t xml:space="preserve">, </w:t>
      </w:r>
      <w:r w:rsidR="001E016E" w:rsidRPr="001E016E">
        <w:rPr>
          <w:rFonts w:cs="Garamond"/>
          <w:highlight w:val="yellow"/>
        </w:rPr>
        <w:t>Flere kilder?</w:t>
      </w:r>
      <w:r w:rsidR="00B54C3A" w:rsidRPr="000B410C">
        <w:rPr>
          <w:rFonts w:cs="Garamond"/>
        </w:rPr>
        <w:t>).</w:t>
      </w:r>
      <w:r w:rsidR="005B2D40">
        <w:t xml:space="preserve"> </w:t>
      </w:r>
      <w:r w:rsidR="005B2D40" w:rsidRPr="00035C49">
        <w:t xml:space="preserve">Electrification of vehicles is thus an important </w:t>
      </w:r>
      <w:r w:rsidR="00B54C3A">
        <w:t xml:space="preserve">climate policy </w:t>
      </w:r>
      <w:r w:rsidR="005B2D40" w:rsidRPr="00035C49">
        <w:t xml:space="preserve">measure </w:t>
      </w:r>
      <w:r w:rsidR="005B2D40">
        <w:t xml:space="preserve">and </w:t>
      </w:r>
      <w:r w:rsidR="005B2D40" w:rsidRPr="00035C49">
        <w:t>has been an integrated part of Norway’s climate policy since 2012 (</w:t>
      </w:r>
      <w:r w:rsidR="005B2D40">
        <w:t>Climate Policy Settlement 2012</w:t>
      </w:r>
      <w:r w:rsidR="005B2D40" w:rsidRPr="00035C49">
        <w:t xml:space="preserve">). </w:t>
      </w:r>
      <w:r w:rsidR="006929EF">
        <w:t>T</w:t>
      </w:r>
      <w:r w:rsidR="00E77733" w:rsidRPr="00035C49">
        <w:t xml:space="preserve">he </w:t>
      </w:r>
      <w:r w:rsidR="006929EF">
        <w:t xml:space="preserve">2016 </w:t>
      </w:r>
      <w:r w:rsidR="00E77733" w:rsidRPr="00035C49">
        <w:t>planning document for the National Transportation Plan</w:t>
      </w:r>
      <w:r w:rsidR="006929EF">
        <w:t xml:space="preserve"> suggests</w:t>
      </w:r>
      <w:r w:rsidR="00E77733" w:rsidRPr="00035C49">
        <w:t xml:space="preserve"> that only zero emission passenger vehicles</w:t>
      </w:r>
      <w:r w:rsidR="006929EF">
        <w:t>,</w:t>
      </w:r>
      <w:r w:rsidR="00E77733" w:rsidRPr="00035C49">
        <w:t xml:space="preserve"> light duty vans and distribution trucks shall be sold from 2025, essentially phasing out </w:t>
      </w:r>
      <w:r w:rsidR="00045D83" w:rsidRPr="00035C49">
        <w:t xml:space="preserve">fossil fuelled </w:t>
      </w:r>
      <w:r w:rsidR="00045D83" w:rsidRPr="000B410C">
        <w:t>vehicles</w:t>
      </w:r>
      <w:r w:rsidR="00950846" w:rsidRPr="000B410C">
        <w:t xml:space="preserve"> (</w:t>
      </w:r>
      <w:r w:rsidR="000B410C">
        <w:t>NTP 2016</w:t>
      </w:r>
      <w:r w:rsidR="00950846" w:rsidRPr="00035C49">
        <w:t>)</w:t>
      </w:r>
      <w:r w:rsidR="00E77733" w:rsidRPr="00035C49">
        <w:t>.</w:t>
      </w:r>
      <w:r w:rsidR="00950846" w:rsidRPr="00035C49">
        <w:t xml:space="preserve"> Th</w:t>
      </w:r>
      <w:r w:rsidR="006929EF">
        <w:t>is</w:t>
      </w:r>
      <w:r w:rsidR="00950846" w:rsidRPr="00035C49">
        <w:t xml:space="preserve"> target was in June 2016 included into the Parliaments agreement on the future energy policy (</w:t>
      </w:r>
      <w:r w:rsidR="000B410C">
        <w:t>Stortinget 2016</w:t>
      </w:r>
      <w:r w:rsidR="00950846" w:rsidRPr="00035C49">
        <w:t xml:space="preserve">). </w:t>
      </w:r>
      <w:r w:rsidR="00B54C3A">
        <w:t>The future taxation policy for the transportation sector, including the incentives for BEVs was settled in the parliament in May 2015 as seen</w:t>
      </w:r>
      <w:r w:rsidR="001E016E">
        <w:t xml:space="preserve"> in the last column of table 1</w:t>
      </w:r>
      <w:r w:rsidR="00B54C3A">
        <w:t xml:space="preserve">. </w:t>
      </w:r>
      <w:r w:rsidR="00950846" w:rsidRPr="00035C49">
        <w:t xml:space="preserve"> </w:t>
      </w:r>
    </w:p>
    <w:p w14:paraId="0CFE7EAA" w14:textId="77777777" w:rsidR="00F51AE0" w:rsidRPr="00035C49" w:rsidRDefault="00F51AE0" w:rsidP="00045D83">
      <w:pPr>
        <w:rPr>
          <w:i/>
        </w:rPr>
      </w:pPr>
    </w:p>
    <w:p w14:paraId="1A4E091E" w14:textId="41336D2F" w:rsidR="008E125D" w:rsidRPr="00035C49" w:rsidRDefault="008E125D" w:rsidP="008E125D">
      <w:pPr>
        <w:pStyle w:val="Bildetekst"/>
        <w:keepNext/>
        <w:rPr>
          <w:rFonts w:ascii="Arial" w:hAnsi="Arial" w:cs="Arial"/>
          <w:sz w:val="18"/>
          <w:szCs w:val="16"/>
          <w:lang w:val="en-GB"/>
        </w:rPr>
      </w:pPr>
      <w:r w:rsidRPr="00035C49">
        <w:rPr>
          <w:rFonts w:ascii="Arial" w:hAnsi="Arial" w:cs="Arial"/>
          <w:sz w:val="18"/>
          <w:szCs w:val="16"/>
          <w:lang w:val="en-GB"/>
        </w:rPr>
        <w:t xml:space="preserve">Table </w:t>
      </w:r>
      <w:r w:rsidR="00E7297A" w:rsidRPr="00035C49">
        <w:rPr>
          <w:rFonts w:ascii="Arial" w:hAnsi="Arial" w:cs="Arial"/>
          <w:sz w:val="18"/>
          <w:szCs w:val="16"/>
          <w:lang w:val="en-GB"/>
        </w:rPr>
        <w:t>1</w:t>
      </w:r>
      <w:r w:rsidRPr="00035C49">
        <w:rPr>
          <w:rFonts w:ascii="Arial" w:hAnsi="Arial" w:cs="Arial"/>
          <w:sz w:val="18"/>
          <w:szCs w:val="16"/>
          <w:lang w:val="en-GB"/>
        </w:rPr>
        <w:t xml:space="preserve"> Electric vehicle incentives in Norway, adapted from Figenbaum and Kolbenstvedt 2015</w:t>
      </w:r>
      <w:r w:rsidR="001E016E">
        <w:rPr>
          <w:rFonts w:ascii="Arial" w:hAnsi="Arial" w:cs="Arial"/>
          <w:sz w:val="18"/>
          <w:szCs w:val="16"/>
          <w:lang w:val="en-GB"/>
        </w:rPr>
        <w:t>b</w:t>
      </w:r>
      <w:r w:rsidRPr="00035C49">
        <w:rPr>
          <w:rFonts w:ascii="Arial" w:hAnsi="Arial" w:cs="Arial"/>
          <w:sz w:val="18"/>
          <w:szCs w:val="16"/>
          <w:lang w:val="en-GB"/>
        </w:rPr>
        <w:t xml:space="preserve">. </w:t>
      </w:r>
    </w:p>
    <w:tbl>
      <w:tblPr>
        <w:tblW w:w="5000" w:type="pct"/>
        <w:tblLook w:val="0000" w:firstRow="0" w:lastRow="0" w:firstColumn="0" w:lastColumn="0" w:noHBand="0" w:noVBand="0"/>
      </w:tblPr>
      <w:tblGrid>
        <w:gridCol w:w="1356"/>
        <w:gridCol w:w="907"/>
        <w:gridCol w:w="2695"/>
        <w:gridCol w:w="3344"/>
      </w:tblGrid>
      <w:tr w:rsidR="00F51AE0" w:rsidRPr="00035C49" w14:paraId="1992843C" w14:textId="77777777" w:rsidTr="00F329FC">
        <w:trPr>
          <w:trHeight w:val="1"/>
        </w:trPr>
        <w:tc>
          <w:tcPr>
            <w:tcW w:w="817" w:type="pct"/>
            <w:tcBorders>
              <w:top w:val="single" w:sz="12" w:space="0" w:color="000000"/>
              <w:left w:val="single" w:sz="4" w:space="0" w:color="auto"/>
              <w:bottom w:val="single" w:sz="4" w:space="0" w:color="auto"/>
              <w:right w:val="single" w:sz="4" w:space="0" w:color="auto"/>
            </w:tcBorders>
            <w:shd w:val="clear" w:color="auto" w:fill="BFBFBF" w:themeFill="background1" w:themeFillShade="BF"/>
          </w:tcPr>
          <w:p w14:paraId="3EC070B5" w14:textId="77777777" w:rsidR="00F51AE0" w:rsidRPr="00035C49" w:rsidRDefault="00F51AE0" w:rsidP="00CD095E">
            <w:pPr>
              <w:autoSpaceDE w:val="0"/>
              <w:autoSpaceDN w:val="0"/>
              <w:adjustRightInd w:val="0"/>
              <w:spacing w:before="60" w:after="20"/>
              <w:ind w:right="-108"/>
              <w:rPr>
                <w:rFonts w:ascii="Calibri" w:hAnsi="Calibri" w:cs="Calibri"/>
                <w:sz w:val="14"/>
                <w:szCs w:val="16"/>
              </w:rPr>
            </w:pPr>
            <w:r w:rsidRPr="00035C49">
              <w:rPr>
                <w:rFonts w:cs="Garamond"/>
                <w:bCs/>
                <w:sz w:val="14"/>
                <w:szCs w:val="16"/>
              </w:rPr>
              <w:t>Incentives</w:t>
            </w:r>
          </w:p>
        </w:tc>
        <w:tc>
          <w:tcPr>
            <w:tcW w:w="546" w:type="pct"/>
            <w:tcBorders>
              <w:top w:val="single" w:sz="12" w:space="0" w:color="000000"/>
              <w:left w:val="single" w:sz="4" w:space="0" w:color="auto"/>
              <w:bottom w:val="single" w:sz="4" w:space="0" w:color="auto"/>
              <w:right w:val="single" w:sz="4" w:space="0" w:color="auto"/>
            </w:tcBorders>
            <w:shd w:val="clear" w:color="auto" w:fill="BFBFBF" w:themeFill="background1" w:themeFillShade="BF"/>
          </w:tcPr>
          <w:p w14:paraId="77B09B0E" w14:textId="77777777" w:rsidR="00F51AE0" w:rsidRPr="00035C49" w:rsidRDefault="00F51AE0" w:rsidP="00CD095E">
            <w:pPr>
              <w:autoSpaceDE w:val="0"/>
              <w:autoSpaceDN w:val="0"/>
              <w:adjustRightInd w:val="0"/>
              <w:spacing w:before="60" w:after="20"/>
              <w:jc w:val="center"/>
              <w:rPr>
                <w:rFonts w:ascii="Calibri" w:hAnsi="Calibri" w:cs="Calibri"/>
                <w:sz w:val="14"/>
                <w:szCs w:val="16"/>
              </w:rPr>
            </w:pPr>
            <w:r w:rsidRPr="00035C49">
              <w:rPr>
                <w:rFonts w:cs="Garamond"/>
                <w:bCs/>
                <w:sz w:val="14"/>
                <w:szCs w:val="16"/>
              </w:rPr>
              <w:t>Introduced</w:t>
            </w:r>
          </w:p>
        </w:tc>
        <w:tc>
          <w:tcPr>
            <w:tcW w:w="1623" w:type="pct"/>
            <w:tcBorders>
              <w:top w:val="single" w:sz="9" w:space="0" w:color="000000"/>
              <w:left w:val="single" w:sz="4" w:space="0" w:color="auto"/>
              <w:bottom w:val="single" w:sz="4" w:space="0" w:color="auto"/>
              <w:right w:val="single" w:sz="4" w:space="0" w:color="auto"/>
            </w:tcBorders>
            <w:shd w:val="clear" w:color="auto" w:fill="BFBFBF" w:themeFill="background1" w:themeFillShade="BF"/>
          </w:tcPr>
          <w:p w14:paraId="4D3956FB" w14:textId="77777777" w:rsidR="00F51AE0" w:rsidRPr="00035C49" w:rsidRDefault="00F51AE0" w:rsidP="00F51AE0">
            <w:pPr>
              <w:autoSpaceDE w:val="0"/>
              <w:autoSpaceDN w:val="0"/>
              <w:adjustRightInd w:val="0"/>
              <w:spacing w:before="60" w:after="20"/>
              <w:rPr>
                <w:rFonts w:ascii="Calibri" w:hAnsi="Calibri" w:cs="Calibri"/>
                <w:sz w:val="14"/>
                <w:szCs w:val="16"/>
              </w:rPr>
            </w:pPr>
            <w:r w:rsidRPr="00035C49">
              <w:rPr>
                <w:rFonts w:cs="Garamond"/>
                <w:bCs/>
                <w:sz w:val="14"/>
                <w:szCs w:val="16"/>
              </w:rPr>
              <w:t>Benefits for buyers of BEVs, influence on relative advantage</w:t>
            </w:r>
          </w:p>
        </w:tc>
        <w:tc>
          <w:tcPr>
            <w:tcW w:w="2014" w:type="pct"/>
            <w:tcBorders>
              <w:top w:val="single" w:sz="12" w:space="0" w:color="000000"/>
              <w:left w:val="single" w:sz="4" w:space="0" w:color="auto"/>
              <w:bottom w:val="single" w:sz="4" w:space="0" w:color="auto"/>
              <w:right w:val="single" w:sz="4" w:space="0" w:color="auto"/>
            </w:tcBorders>
            <w:shd w:val="clear" w:color="auto" w:fill="BFBFBF" w:themeFill="background1" w:themeFillShade="BF"/>
          </w:tcPr>
          <w:p w14:paraId="2BCAAE6E" w14:textId="77777777" w:rsidR="00F51AE0" w:rsidRPr="00035C49" w:rsidRDefault="00F51AE0" w:rsidP="00F51AE0">
            <w:pPr>
              <w:autoSpaceDE w:val="0"/>
              <w:autoSpaceDN w:val="0"/>
              <w:adjustRightInd w:val="0"/>
              <w:spacing w:before="60" w:after="20"/>
              <w:rPr>
                <w:rFonts w:ascii="Calibri" w:hAnsi="Calibri" w:cs="Calibri"/>
                <w:sz w:val="14"/>
                <w:szCs w:val="16"/>
              </w:rPr>
            </w:pPr>
            <w:r w:rsidRPr="00035C49">
              <w:rPr>
                <w:rFonts w:cs="Garamond"/>
                <w:bCs/>
                <w:sz w:val="14"/>
                <w:szCs w:val="16"/>
              </w:rPr>
              <w:t xml:space="preserve">Future of the incentive </w:t>
            </w:r>
            <w:r w:rsidRPr="00035C49">
              <w:rPr>
                <w:sz w:val="14"/>
                <w:szCs w:val="14"/>
              </w:rPr>
              <w:t xml:space="preserve">as presented in the governments revised budget for 2015 (may 2015) </w:t>
            </w:r>
          </w:p>
        </w:tc>
      </w:tr>
      <w:tr w:rsidR="00045D83" w:rsidRPr="00035C49" w14:paraId="6845E2DF" w14:textId="77777777" w:rsidTr="00045D83">
        <w:trPr>
          <w:trHeight w:val="1"/>
        </w:trPr>
        <w:tc>
          <w:tcPr>
            <w:tcW w:w="5000" w:type="pct"/>
            <w:gridSpan w:val="4"/>
            <w:tcBorders>
              <w:top w:val="single" w:sz="4" w:space="0" w:color="auto"/>
              <w:left w:val="single" w:sz="4" w:space="0" w:color="auto"/>
              <w:bottom w:val="single" w:sz="4" w:space="0" w:color="auto"/>
              <w:right w:val="nil"/>
            </w:tcBorders>
            <w:shd w:val="clear" w:color="auto" w:fill="F2F2F2" w:themeFill="background1" w:themeFillShade="F2"/>
          </w:tcPr>
          <w:p w14:paraId="24E7B635" w14:textId="77777777" w:rsidR="00045D83" w:rsidRPr="00035C49" w:rsidRDefault="00045D83" w:rsidP="00CD095E">
            <w:pPr>
              <w:autoSpaceDE w:val="0"/>
              <w:autoSpaceDN w:val="0"/>
              <w:adjustRightInd w:val="0"/>
              <w:spacing w:before="60" w:after="20"/>
              <w:rPr>
                <w:rFonts w:ascii="Calibri" w:hAnsi="Calibri" w:cs="Calibri"/>
                <w:sz w:val="14"/>
                <w:szCs w:val="16"/>
              </w:rPr>
            </w:pPr>
            <w:r w:rsidRPr="00035C49">
              <w:rPr>
                <w:rFonts w:cs="Garamond"/>
                <w:bCs/>
                <w:sz w:val="14"/>
                <w:szCs w:val="16"/>
              </w:rPr>
              <w:t>Fiscal incentives: Reduction of purchase price/yearly cost gives competitive prices</w:t>
            </w:r>
          </w:p>
        </w:tc>
      </w:tr>
      <w:tr w:rsidR="00F51AE0" w:rsidRPr="00035C49" w14:paraId="4A6D8EDC" w14:textId="77777777" w:rsidTr="00F329FC">
        <w:trPr>
          <w:trHeight w:val="1"/>
        </w:trPr>
        <w:tc>
          <w:tcPr>
            <w:tcW w:w="817" w:type="pct"/>
            <w:tcBorders>
              <w:top w:val="single" w:sz="4" w:space="0" w:color="auto"/>
              <w:left w:val="single" w:sz="4" w:space="0" w:color="auto"/>
              <w:bottom w:val="single" w:sz="6" w:space="0" w:color="000000"/>
              <w:right w:val="single" w:sz="4" w:space="0" w:color="auto"/>
            </w:tcBorders>
            <w:shd w:val="clear" w:color="auto" w:fill="BFBFBF" w:themeFill="background1" w:themeFillShade="BF"/>
          </w:tcPr>
          <w:p w14:paraId="5C1D7A20" w14:textId="77777777" w:rsidR="00F51AE0" w:rsidRPr="00035C49" w:rsidRDefault="00F51AE0" w:rsidP="00CD095E">
            <w:pPr>
              <w:autoSpaceDE w:val="0"/>
              <w:autoSpaceDN w:val="0"/>
              <w:adjustRightInd w:val="0"/>
              <w:spacing w:before="60" w:after="20"/>
              <w:ind w:right="-108"/>
              <w:rPr>
                <w:rFonts w:ascii="Calibri" w:hAnsi="Calibri" w:cs="Calibri"/>
                <w:sz w:val="14"/>
                <w:szCs w:val="16"/>
              </w:rPr>
            </w:pPr>
            <w:r w:rsidRPr="00035C49">
              <w:rPr>
                <w:rFonts w:cs="Garamond"/>
                <w:sz w:val="14"/>
                <w:szCs w:val="16"/>
              </w:rPr>
              <w:t>Exemption from registration tax</w:t>
            </w:r>
          </w:p>
        </w:tc>
        <w:tc>
          <w:tcPr>
            <w:tcW w:w="546" w:type="pct"/>
            <w:tcBorders>
              <w:top w:val="single" w:sz="4" w:space="0" w:color="auto"/>
              <w:left w:val="single" w:sz="4" w:space="0" w:color="auto"/>
              <w:bottom w:val="single" w:sz="6" w:space="0" w:color="000000"/>
              <w:right w:val="single" w:sz="4" w:space="0" w:color="auto"/>
            </w:tcBorders>
          </w:tcPr>
          <w:p w14:paraId="71E2F3CA" w14:textId="77777777" w:rsidR="00F51AE0" w:rsidRPr="00035C49" w:rsidRDefault="00F51AE0" w:rsidP="00CD095E">
            <w:pPr>
              <w:autoSpaceDE w:val="0"/>
              <w:autoSpaceDN w:val="0"/>
              <w:adjustRightInd w:val="0"/>
              <w:spacing w:before="60" w:after="20"/>
              <w:jc w:val="center"/>
              <w:rPr>
                <w:rFonts w:ascii="Calibri" w:hAnsi="Calibri" w:cs="Calibri"/>
                <w:sz w:val="14"/>
                <w:szCs w:val="16"/>
              </w:rPr>
            </w:pPr>
            <w:r w:rsidRPr="00035C49">
              <w:rPr>
                <w:rFonts w:cs="Garamond"/>
                <w:sz w:val="14"/>
                <w:szCs w:val="16"/>
              </w:rPr>
              <w:t xml:space="preserve">1990/1996 </w:t>
            </w:r>
          </w:p>
        </w:tc>
        <w:tc>
          <w:tcPr>
            <w:tcW w:w="1623" w:type="pct"/>
            <w:tcBorders>
              <w:top w:val="single" w:sz="4" w:space="0" w:color="auto"/>
              <w:left w:val="single" w:sz="4" w:space="0" w:color="auto"/>
              <w:bottom w:val="single" w:sz="6" w:space="0" w:color="000000"/>
              <w:right w:val="single" w:sz="4" w:space="0" w:color="auto"/>
            </w:tcBorders>
          </w:tcPr>
          <w:p w14:paraId="2AAF883E" w14:textId="77777777" w:rsidR="00F51AE0" w:rsidRPr="00035C49" w:rsidRDefault="00F51AE0" w:rsidP="00CD095E">
            <w:pPr>
              <w:autoSpaceDE w:val="0"/>
              <w:autoSpaceDN w:val="0"/>
              <w:adjustRightInd w:val="0"/>
              <w:spacing w:before="60" w:after="20"/>
              <w:rPr>
                <w:rFonts w:ascii="Calibri" w:hAnsi="Calibri" w:cs="Calibri"/>
                <w:sz w:val="14"/>
                <w:szCs w:val="16"/>
              </w:rPr>
            </w:pPr>
            <w:r w:rsidRPr="00035C49">
              <w:rPr>
                <w:rFonts w:cs="Garamond"/>
                <w:sz w:val="14"/>
                <w:szCs w:val="16"/>
              </w:rPr>
              <w:t xml:space="preserve">The tax </w:t>
            </w:r>
            <w:r w:rsidR="00C80645">
              <w:rPr>
                <w:rFonts w:cs="Garamond"/>
                <w:sz w:val="14"/>
                <w:szCs w:val="16"/>
              </w:rPr>
              <w:t>is based on emission and weight</w:t>
            </w:r>
            <w:r w:rsidRPr="00035C49">
              <w:rPr>
                <w:rFonts w:cs="Garamond"/>
                <w:sz w:val="14"/>
                <w:szCs w:val="16"/>
              </w:rPr>
              <w:t xml:space="preserve"> and makes ICE vehicles more expensive. Example of ICEV taxes: VW Up 3000 €. VW Golf: 6000-9000 €, </w:t>
            </w:r>
          </w:p>
        </w:tc>
        <w:tc>
          <w:tcPr>
            <w:tcW w:w="2014" w:type="pct"/>
            <w:tcBorders>
              <w:top w:val="single" w:sz="4" w:space="0" w:color="auto"/>
              <w:left w:val="single" w:sz="4" w:space="0" w:color="auto"/>
              <w:bottom w:val="single" w:sz="6" w:space="0" w:color="000000"/>
              <w:right w:val="single" w:sz="4" w:space="0" w:color="auto"/>
            </w:tcBorders>
          </w:tcPr>
          <w:p w14:paraId="2B0A6FBE" w14:textId="77777777" w:rsidR="00F51AE0" w:rsidRPr="00035C49" w:rsidRDefault="00F51AE0" w:rsidP="00F51AE0">
            <w:pPr>
              <w:autoSpaceDE w:val="0"/>
              <w:autoSpaceDN w:val="0"/>
              <w:adjustRightInd w:val="0"/>
              <w:spacing w:before="60" w:after="20"/>
              <w:rPr>
                <w:rFonts w:ascii="Calibri" w:hAnsi="Calibri" w:cs="Calibri"/>
                <w:sz w:val="14"/>
                <w:szCs w:val="16"/>
              </w:rPr>
            </w:pPr>
            <w:r w:rsidRPr="00035C49">
              <w:rPr>
                <w:rFonts w:cs="Garamond"/>
                <w:sz w:val="14"/>
                <w:szCs w:val="16"/>
              </w:rPr>
              <w:t xml:space="preserve">Continued until 2020 and to be reviewed against the achievement of the Norwegian climate policy goals for 2020/2030. For ICEVs the registration tax will be tuned further to reduce emissions </w:t>
            </w:r>
          </w:p>
        </w:tc>
      </w:tr>
      <w:tr w:rsidR="00F51AE0" w:rsidRPr="00035C49" w14:paraId="51409253" w14:textId="77777777" w:rsidTr="00F329FC">
        <w:trPr>
          <w:trHeight w:val="1"/>
        </w:trPr>
        <w:tc>
          <w:tcPr>
            <w:tcW w:w="817" w:type="pct"/>
            <w:tcBorders>
              <w:top w:val="single" w:sz="6" w:space="0" w:color="000000"/>
              <w:left w:val="single" w:sz="4" w:space="0" w:color="auto"/>
              <w:bottom w:val="single" w:sz="6" w:space="0" w:color="000000"/>
              <w:right w:val="single" w:sz="4" w:space="0" w:color="auto"/>
            </w:tcBorders>
            <w:shd w:val="clear" w:color="auto" w:fill="BFBFBF" w:themeFill="background1" w:themeFillShade="BF"/>
          </w:tcPr>
          <w:p w14:paraId="680E68A8" w14:textId="77777777" w:rsidR="00F51AE0" w:rsidRPr="00035C49" w:rsidRDefault="00F51AE0" w:rsidP="00CD095E">
            <w:pPr>
              <w:autoSpaceDE w:val="0"/>
              <w:autoSpaceDN w:val="0"/>
              <w:adjustRightInd w:val="0"/>
              <w:spacing w:before="60" w:after="20"/>
              <w:ind w:right="-108"/>
              <w:rPr>
                <w:rFonts w:ascii="Calibri" w:hAnsi="Calibri" w:cs="Calibri"/>
                <w:sz w:val="14"/>
                <w:szCs w:val="16"/>
              </w:rPr>
            </w:pPr>
            <w:r w:rsidRPr="00035C49">
              <w:rPr>
                <w:rFonts w:cs="Garamond"/>
                <w:sz w:val="14"/>
                <w:szCs w:val="16"/>
              </w:rPr>
              <w:t>VAT exemption</w:t>
            </w:r>
          </w:p>
        </w:tc>
        <w:tc>
          <w:tcPr>
            <w:tcW w:w="546" w:type="pct"/>
            <w:tcBorders>
              <w:top w:val="single" w:sz="6" w:space="0" w:color="000000"/>
              <w:left w:val="single" w:sz="4" w:space="0" w:color="auto"/>
              <w:bottom w:val="single" w:sz="6" w:space="0" w:color="000000"/>
              <w:right w:val="single" w:sz="4" w:space="0" w:color="auto"/>
            </w:tcBorders>
          </w:tcPr>
          <w:p w14:paraId="0BD1F3F7" w14:textId="77777777" w:rsidR="00F51AE0" w:rsidRPr="00035C49" w:rsidRDefault="00F51AE0" w:rsidP="00CD095E">
            <w:pPr>
              <w:autoSpaceDE w:val="0"/>
              <w:autoSpaceDN w:val="0"/>
              <w:adjustRightInd w:val="0"/>
              <w:spacing w:before="60" w:after="20"/>
              <w:jc w:val="center"/>
              <w:rPr>
                <w:rFonts w:ascii="Calibri" w:hAnsi="Calibri" w:cs="Calibri"/>
                <w:sz w:val="14"/>
                <w:szCs w:val="16"/>
              </w:rPr>
            </w:pPr>
            <w:r w:rsidRPr="00035C49">
              <w:rPr>
                <w:rFonts w:cs="Garamond"/>
                <w:sz w:val="14"/>
                <w:szCs w:val="16"/>
              </w:rPr>
              <w:t>2001</w:t>
            </w:r>
          </w:p>
        </w:tc>
        <w:tc>
          <w:tcPr>
            <w:tcW w:w="1623" w:type="pct"/>
            <w:tcBorders>
              <w:top w:val="single" w:sz="6" w:space="0" w:color="000000"/>
              <w:left w:val="single" w:sz="4" w:space="0" w:color="auto"/>
              <w:bottom w:val="single" w:sz="6" w:space="0" w:color="000000"/>
              <w:right w:val="single" w:sz="4" w:space="0" w:color="auto"/>
            </w:tcBorders>
          </w:tcPr>
          <w:p w14:paraId="1088F2AC" w14:textId="77777777" w:rsidR="00F51AE0" w:rsidRPr="00035C49" w:rsidRDefault="00F51AE0" w:rsidP="00CD095E">
            <w:pPr>
              <w:autoSpaceDE w:val="0"/>
              <w:autoSpaceDN w:val="0"/>
              <w:adjustRightInd w:val="0"/>
              <w:spacing w:before="60" w:after="20"/>
              <w:rPr>
                <w:rFonts w:ascii="Calibri" w:hAnsi="Calibri" w:cs="Calibri"/>
                <w:sz w:val="14"/>
                <w:szCs w:val="16"/>
              </w:rPr>
            </w:pPr>
            <w:r w:rsidRPr="00035C49">
              <w:rPr>
                <w:rFonts w:cs="Garamond"/>
                <w:sz w:val="14"/>
                <w:szCs w:val="16"/>
              </w:rPr>
              <w:t xml:space="preserve">Vehicles competing with BEVs are levied a VAT of 25% on sales price minus registration tax. </w:t>
            </w:r>
          </w:p>
        </w:tc>
        <w:tc>
          <w:tcPr>
            <w:tcW w:w="2014" w:type="pct"/>
            <w:tcBorders>
              <w:top w:val="single" w:sz="6" w:space="0" w:color="000000"/>
              <w:left w:val="single" w:sz="4" w:space="0" w:color="auto"/>
              <w:bottom w:val="single" w:sz="6" w:space="0" w:color="000000"/>
              <w:right w:val="single" w:sz="4" w:space="0" w:color="auto"/>
            </w:tcBorders>
          </w:tcPr>
          <w:p w14:paraId="70D25CD7" w14:textId="77777777" w:rsidR="00F51AE0" w:rsidRPr="00035C49" w:rsidRDefault="00F51AE0" w:rsidP="00F51AE0">
            <w:pPr>
              <w:autoSpaceDE w:val="0"/>
              <w:autoSpaceDN w:val="0"/>
              <w:adjustRightInd w:val="0"/>
              <w:spacing w:before="60" w:after="20"/>
              <w:rPr>
                <w:rFonts w:ascii="Calibri" w:hAnsi="Calibri" w:cs="Calibri"/>
                <w:sz w:val="14"/>
                <w:szCs w:val="16"/>
              </w:rPr>
            </w:pPr>
            <w:r w:rsidRPr="00035C49">
              <w:rPr>
                <w:rFonts w:cs="Garamond"/>
                <w:sz w:val="14"/>
                <w:szCs w:val="16"/>
              </w:rPr>
              <w:t>Unchanged through the end of 2017. Will consider replacing it with a subsidy scheme, initially at the level of the VAT exemption, then ramped down.</w:t>
            </w:r>
          </w:p>
        </w:tc>
      </w:tr>
      <w:tr w:rsidR="00F51AE0" w:rsidRPr="00035C49" w14:paraId="725233F6" w14:textId="77777777" w:rsidTr="00F329FC">
        <w:trPr>
          <w:trHeight w:val="1"/>
        </w:trPr>
        <w:tc>
          <w:tcPr>
            <w:tcW w:w="817" w:type="pct"/>
            <w:tcBorders>
              <w:top w:val="single" w:sz="6" w:space="0" w:color="000000"/>
              <w:left w:val="single" w:sz="4" w:space="0" w:color="auto"/>
              <w:bottom w:val="single" w:sz="6" w:space="0" w:color="000000"/>
              <w:right w:val="single" w:sz="4" w:space="0" w:color="auto"/>
            </w:tcBorders>
            <w:shd w:val="clear" w:color="auto" w:fill="BFBFBF" w:themeFill="background1" w:themeFillShade="BF"/>
          </w:tcPr>
          <w:p w14:paraId="353A5B7C" w14:textId="77777777" w:rsidR="00F51AE0" w:rsidRPr="00035C49" w:rsidRDefault="00F51AE0" w:rsidP="00CD095E">
            <w:pPr>
              <w:autoSpaceDE w:val="0"/>
              <w:autoSpaceDN w:val="0"/>
              <w:adjustRightInd w:val="0"/>
              <w:spacing w:before="60" w:after="20"/>
              <w:ind w:right="-108"/>
              <w:rPr>
                <w:rFonts w:ascii="Calibri" w:hAnsi="Calibri" w:cs="Calibri"/>
                <w:sz w:val="14"/>
                <w:szCs w:val="16"/>
              </w:rPr>
            </w:pPr>
            <w:r w:rsidRPr="00035C49">
              <w:rPr>
                <w:rFonts w:cs="Garamond"/>
                <w:sz w:val="14"/>
                <w:szCs w:val="16"/>
              </w:rPr>
              <w:t>Reduced annual vehicle license fee</w:t>
            </w:r>
          </w:p>
        </w:tc>
        <w:tc>
          <w:tcPr>
            <w:tcW w:w="546" w:type="pct"/>
            <w:tcBorders>
              <w:top w:val="single" w:sz="6" w:space="0" w:color="000000"/>
              <w:left w:val="single" w:sz="4" w:space="0" w:color="auto"/>
              <w:bottom w:val="single" w:sz="6" w:space="0" w:color="000000"/>
              <w:right w:val="single" w:sz="4" w:space="0" w:color="auto"/>
            </w:tcBorders>
          </w:tcPr>
          <w:p w14:paraId="1AD47C04" w14:textId="77777777" w:rsidR="00F51AE0" w:rsidRPr="00035C49" w:rsidRDefault="00F51AE0" w:rsidP="00CD095E">
            <w:pPr>
              <w:autoSpaceDE w:val="0"/>
              <w:autoSpaceDN w:val="0"/>
              <w:adjustRightInd w:val="0"/>
              <w:spacing w:before="60" w:after="20"/>
              <w:jc w:val="center"/>
              <w:rPr>
                <w:rFonts w:ascii="Calibri" w:hAnsi="Calibri" w:cs="Calibri"/>
                <w:sz w:val="14"/>
                <w:szCs w:val="16"/>
              </w:rPr>
            </w:pPr>
            <w:r w:rsidRPr="00035C49">
              <w:rPr>
                <w:rFonts w:cs="Garamond"/>
                <w:sz w:val="14"/>
                <w:szCs w:val="16"/>
              </w:rPr>
              <w:t>1996/2004</w:t>
            </w:r>
          </w:p>
        </w:tc>
        <w:tc>
          <w:tcPr>
            <w:tcW w:w="1623" w:type="pct"/>
            <w:tcBorders>
              <w:top w:val="single" w:sz="6" w:space="0" w:color="000000"/>
              <w:left w:val="single" w:sz="4" w:space="0" w:color="auto"/>
              <w:bottom w:val="single" w:sz="6" w:space="0" w:color="000000"/>
              <w:right w:val="single" w:sz="4" w:space="0" w:color="auto"/>
            </w:tcBorders>
          </w:tcPr>
          <w:p w14:paraId="64A6625E" w14:textId="77777777" w:rsidR="00F51AE0" w:rsidRPr="00035C49" w:rsidRDefault="00F51AE0" w:rsidP="00CD095E">
            <w:pPr>
              <w:autoSpaceDE w:val="0"/>
              <w:autoSpaceDN w:val="0"/>
              <w:adjustRightInd w:val="0"/>
              <w:spacing w:before="60" w:after="20"/>
              <w:rPr>
                <w:rFonts w:ascii="Calibri" w:hAnsi="Calibri" w:cs="Calibri"/>
                <w:sz w:val="14"/>
                <w:szCs w:val="16"/>
              </w:rPr>
            </w:pPr>
            <w:r w:rsidRPr="00035C49">
              <w:rPr>
                <w:rFonts w:cs="Garamond"/>
                <w:sz w:val="14"/>
                <w:szCs w:val="16"/>
              </w:rPr>
              <w:t xml:space="preserve">BEVs and hydrogen vehicles 52 € (2014-figures). Diesel rate: 360-420 € with/without particulate filter. </w:t>
            </w:r>
          </w:p>
        </w:tc>
        <w:tc>
          <w:tcPr>
            <w:tcW w:w="2014" w:type="pct"/>
            <w:tcBorders>
              <w:top w:val="single" w:sz="6" w:space="0" w:color="000000"/>
              <w:left w:val="single" w:sz="4" w:space="0" w:color="auto"/>
              <w:bottom w:val="single" w:sz="6" w:space="0" w:color="000000"/>
              <w:right w:val="single" w:sz="4" w:space="0" w:color="auto"/>
            </w:tcBorders>
          </w:tcPr>
          <w:p w14:paraId="5E18A3D6" w14:textId="77777777" w:rsidR="00F51AE0" w:rsidRPr="00035C49" w:rsidRDefault="00F51AE0" w:rsidP="00CD095E">
            <w:pPr>
              <w:autoSpaceDE w:val="0"/>
              <w:autoSpaceDN w:val="0"/>
              <w:adjustRightInd w:val="0"/>
              <w:spacing w:before="60" w:after="20"/>
              <w:rPr>
                <w:rFonts w:ascii="Calibri" w:hAnsi="Calibri" w:cs="Calibri"/>
                <w:sz w:val="14"/>
                <w:szCs w:val="16"/>
              </w:rPr>
            </w:pPr>
            <w:r w:rsidRPr="00035C49">
              <w:rPr>
                <w:rFonts w:cs="Garamond"/>
                <w:sz w:val="14"/>
                <w:szCs w:val="16"/>
              </w:rPr>
              <w:t xml:space="preserve">Half rate of ICE vehicles to be introduced 01.01.2018 and full rate from 2020, i.e. the incentive will be removed from that year. </w:t>
            </w:r>
          </w:p>
        </w:tc>
      </w:tr>
      <w:tr w:rsidR="00F51AE0" w:rsidRPr="00035C49" w14:paraId="7E56A7A4" w14:textId="77777777" w:rsidTr="00F329FC">
        <w:trPr>
          <w:trHeight w:val="1"/>
        </w:trPr>
        <w:tc>
          <w:tcPr>
            <w:tcW w:w="817" w:type="pct"/>
            <w:tcBorders>
              <w:top w:val="single" w:sz="6" w:space="0" w:color="000000"/>
              <w:left w:val="single" w:sz="4" w:space="0" w:color="auto"/>
              <w:bottom w:val="single" w:sz="4" w:space="0" w:color="auto"/>
              <w:right w:val="single" w:sz="4" w:space="0" w:color="auto"/>
            </w:tcBorders>
            <w:shd w:val="clear" w:color="auto" w:fill="BFBFBF" w:themeFill="background1" w:themeFillShade="BF"/>
          </w:tcPr>
          <w:p w14:paraId="56A061CC" w14:textId="77777777" w:rsidR="00F51AE0" w:rsidRPr="00035C49" w:rsidRDefault="00F51AE0" w:rsidP="00CD095E">
            <w:pPr>
              <w:autoSpaceDE w:val="0"/>
              <w:autoSpaceDN w:val="0"/>
              <w:adjustRightInd w:val="0"/>
              <w:spacing w:before="60" w:after="20"/>
              <w:ind w:right="-108"/>
              <w:rPr>
                <w:rFonts w:ascii="Calibri" w:hAnsi="Calibri" w:cs="Calibri"/>
                <w:sz w:val="14"/>
                <w:szCs w:val="16"/>
              </w:rPr>
            </w:pPr>
            <w:r w:rsidRPr="00035C49">
              <w:rPr>
                <w:rFonts w:cs="Garamond"/>
                <w:sz w:val="14"/>
                <w:szCs w:val="16"/>
              </w:rPr>
              <w:t>Reduced company car tax</w:t>
            </w:r>
          </w:p>
        </w:tc>
        <w:tc>
          <w:tcPr>
            <w:tcW w:w="546" w:type="pct"/>
            <w:tcBorders>
              <w:top w:val="single" w:sz="6" w:space="0" w:color="000000"/>
              <w:left w:val="single" w:sz="4" w:space="0" w:color="auto"/>
              <w:bottom w:val="single" w:sz="4" w:space="0" w:color="auto"/>
              <w:right w:val="single" w:sz="4" w:space="0" w:color="auto"/>
            </w:tcBorders>
          </w:tcPr>
          <w:p w14:paraId="61D4ABA5" w14:textId="77777777" w:rsidR="00F51AE0" w:rsidRPr="00035C49" w:rsidRDefault="00F51AE0" w:rsidP="00CD095E">
            <w:pPr>
              <w:autoSpaceDE w:val="0"/>
              <w:autoSpaceDN w:val="0"/>
              <w:adjustRightInd w:val="0"/>
              <w:spacing w:before="60" w:after="20"/>
              <w:jc w:val="center"/>
              <w:rPr>
                <w:rFonts w:ascii="Calibri" w:hAnsi="Calibri" w:cs="Calibri"/>
                <w:sz w:val="14"/>
                <w:szCs w:val="16"/>
              </w:rPr>
            </w:pPr>
            <w:r w:rsidRPr="00035C49">
              <w:rPr>
                <w:rFonts w:cs="Garamond"/>
                <w:sz w:val="14"/>
                <w:szCs w:val="16"/>
              </w:rPr>
              <w:t>2000</w:t>
            </w:r>
          </w:p>
        </w:tc>
        <w:tc>
          <w:tcPr>
            <w:tcW w:w="1623" w:type="pct"/>
            <w:tcBorders>
              <w:top w:val="single" w:sz="6" w:space="0" w:color="000000"/>
              <w:left w:val="single" w:sz="4" w:space="0" w:color="auto"/>
              <w:bottom w:val="single" w:sz="4" w:space="0" w:color="auto"/>
              <w:right w:val="single" w:sz="4" w:space="0" w:color="auto"/>
            </w:tcBorders>
          </w:tcPr>
          <w:p w14:paraId="36C9BF4B" w14:textId="77777777" w:rsidR="00F51AE0" w:rsidRPr="00035C49" w:rsidRDefault="00F51AE0" w:rsidP="00CD095E">
            <w:pPr>
              <w:autoSpaceDE w:val="0"/>
              <w:autoSpaceDN w:val="0"/>
              <w:adjustRightInd w:val="0"/>
              <w:spacing w:before="60" w:after="20"/>
              <w:rPr>
                <w:rFonts w:ascii="Calibri" w:hAnsi="Calibri" w:cs="Calibri"/>
                <w:sz w:val="14"/>
                <w:szCs w:val="16"/>
              </w:rPr>
            </w:pPr>
            <w:r w:rsidRPr="00035C49">
              <w:rPr>
                <w:rFonts w:cs="Garamond"/>
                <w:sz w:val="14"/>
                <w:szCs w:val="16"/>
              </w:rPr>
              <w:t xml:space="preserve">The company-car tax is lower but BEVs are </w:t>
            </w:r>
            <w:r w:rsidR="00C80645" w:rsidRPr="00035C49">
              <w:rPr>
                <w:rFonts w:cs="Garamond"/>
                <w:sz w:val="14"/>
                <w:szCs w:val="16"/>
              </w:rPr>
              <w:t>mostly not</w:t>
            </w:r>
            <w:r w:rsidRPr="00035C49">
              <w:rPr>
                <w:rFonts w:cs="Garamond"/>
                <w:sz w:val="14"/>
                <w:szCs w:val="16"/>
              </w:rPr>
              <w:t xml:space="preserve"> company cars.</w:t>
            </w:r>
          </w:p>
        </w:tc>
        <w:tc>
          <w:tcPr>
            <w:tcW w:w="2014" w:type="pct"/>
            <w:tcBorders>
              <w:top w:val="single" w:sz="6" w:space="0" w:color="000000"/>
              <w:left w:val="single" w:sz="4" w:space="0" w:color="auto"/>
              <w:bottom w:val="single" w:sz="4" w:space="0" w:color="auto"/>
              <w:right w:val="single" w:sz="4" w:space="0" w:color="auto"/>
            </w:tcBorders>
          </w:tcPr>
          <w:p w14:paraId="74BC7EBA" w14:textId="77777777" w:rsidR="00F51AE0" w:rsidRPr="00035C49" w:rsidRDefault="00F51AE0" w:rsidP="00CD095E">
            <w:pPr>
              <w:autoSpaceDE w:val="0"/>
              <w:autoSpaceDN w:val="0"/>
              <w:adjustRightInd w:val="0"/>
              <w:spacing w:before="60" w:after="20"/>
              <w:rPr>
                <w:rFonts w:ascii="Calibri" w:hAnsi="Calibri" w:cs="Calibri"/>
                <w:sz w:val="14"/>
                <w:szCs w:val="16"/>
              </w:rPr>
            </w:pPr>
            <w:r w:rsidRPr="00035C49">
              <w:rPr>
                <w:rFonts w:cs="Garamond"/>
                <w:sz w:val="14"/>
                <w:szCs w:val="16"/>
              </w:rPr>
              <w:t>This incentive may be removed from 2018</w:t>
            </w:r>
          </w:p>
        </w:tc>
      </w:tr>
      <w:tr w:rsidR="00045D83" w:rsidRPr="00035C49" w14:paraId="51DA3AAD" w14:textId="77777777" w:rsidTr="00045D83">
        <w:trPr>
          <w:trHeight w:val="1"/>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6A4B5E" w14:textId="77777777" w:rsidR="00045D83" w:rsidRPr="00035C49" w:rsidRDefault="00045D83" w:rsidP="00515507">
            <w:pPr>
              <w:autoSpaceDE w:val="0"/>
              <w:autoSpaceDN w:val="0"/>
              <w:adjustRightInd w:val="0"/>
              <w:spacing w:before="60" w:after="20"/>
              <w:rPr>
                <w:rFonts w:ascii="Calibri" w:hAnsi="Calibri" w:cs="Calibri"/>
                <w:sz w:val="14"/>
                <w:szCs w:val="16"/>
              </w:rPr>
            </w:pPr>
            <w:r w:rsidRPr="00035C49">
              <w:rPr>
                <w:rFonts w:cs="Garamond"/>
                <w:bCs/>
                <w:sz w:val="14"/>
                <w:szCs w:val="16"/>
              </w:rPr>
              <w:t>Direct subsidies to users: Reduction of variable costs and help solving range challenges</w:t>
            </w:r>
          </w:p>
        </w:tc>
      </w:tr>
      <w:tr w:rsidR="00F51AE0" w:rsidRPr="00035C49" w14:paraId="2A2206B5" w14:textId="77777777" w:rsidTr="00F329FC">
        <w:trPr>
          <w:trHeight w:val="1"/>
        </w:trPr>
        <w:tc>
          <w:tcPr>
            <w:tcW w:w="817" w:type="pct"/>
            <w:tcBorders>
              <w:top w:val="single" w:sz="4" w:space="0" w:color="auto"/>
              <w:left w:val="single" w:sz="4" w:space="0" w:color="auto"/>
              <w:bottom w:val="single" w:sz="6" w:space="0" w:color="000000"/>
              <w:right w:val="single" w:sz="4" w:space="0" w:color="auto"/>
            </w:tcBorders>
            <w:shd w:val="clear" w:color="auto" w:fill="BFBFBF" w:themeFill="background1" w:themeFillShade="BF"/>
          </w:tcPr>
          <w:p w14:paraId="3C09DD68" w14:textId="77777777" w:rsidR="00F51AE0" w:rsidRPr="00035C49" w:rsidRDefault="00F51AE0" w:rsidP="00CD095E">
            <w:pPr>
              <w:autoSpaceDE w:val="0"/>
              <w:autoSpaceDN w:val="0"/>
              <w:adjustRightInd w:val="0"/>
              <w:spacing w:before="60" w:after="20"/>
              <w:ind w:right="-108"/>
              <w:rPr>
                <w:rFonts w:ascii="Calibri" w:hAnsi="Calibri" w:cs="Calibri"/>
                <w:sz w:val="14"/>
                <w:szCs w:val="16"/>
              </w:rPr>
            </w:pPr>
            <w:r w:rsidRPr="00035C49">
              <w:rPr>
                <w:rFonts w:cs="Garamond"/>
                <w:sz w:val="14"/>
                <w:szCs w:val="16"/>
              </w:rPr>
              <w:t>Free toll roads</w:t>
            </w:r>
          </w:p>
        </w:tc>
        <w:tc>
          <w:tcPr>
            <w:tcW w:w="546" w:type="pct"/>
            <w:tcBorders>
              <w:top w:val="single" w:sz="4" w:space="0" w:color="auto"/>
              <w:left w:val="single" w:sz="4" w:space="0" w:color="auto"/>
              <w:bottom w:val="single" w:sz="6" w:space="0" w:color="000000"/>
              <w:right w:val="single" w:sz="4" w:space="0" w:color="auto"/>
            </w:tcBorders>
          </w:tcPr>
          <w:p w14:paraId="617FC176" w14:textId="77777777" w:rsidR="00F51AE0" w:rsidRPr="00035C49" w:rsidRDefault="00F51AE0" w:rsidP="00CD095E">
            <w:pPr>
              <w:autoSpaceDE w:val="0"/>
              <w:autoSpaceDN w:val="0"/>
              <w:adjustRightInd w:val="0"/>
              <w:spacing w:before="60" w:after="20"/>
              <w:jc w:val="center"/>
              <w:rPr>
                <w:rFonts w:ascii="Calibri" w:hAnsi="Calibri" w:cs="Calibri"/>
                <w:sz w:val="14"/>
                <w:szCs w:val="16"/>
              </w:rPr>
            </w:pPr>
            <w:r w:rsidRPr="00035C49">
              <w:rPr>
                <w:rFonts w:cs="Garamond"/>
                <w:sz w:val="14"/>
                <w:szCs w:val="16"/>
              </w:rPr>
              <w:t>1997</w:t>
            </w:r>
          </w:p>
        </w:tc>
        <w:tc>
          <w:tcPr>
            <w:tcW w:w="1623" w:type="pct"/>
            <w:tcBorders>
              <w:top w:val="single" w:sz="4" w:space="0" w:color="auto"/>
              <w:left w:val="single" w:sz="4" w:space="0" w:color="auto"/>
              <w:bottom w:val="single" w:sz="6" w:space="0" w:color="000000"/>
              <w:right w:val="single" w:sz="4" w:space="0" w:color="auto"/>
            </w:tcBorders>
          </w:tcPr>
          <w:p w14:paraId="7D2DAE2B" w14:textId="77777777" w:rsidR="00F51AE0" w:rsidRPr="00035C49" w:rsidRDefault="00F51AE0" w:rsidP="00CD095E">
            <w:pPr>
              <w:autoSpaceDE w:val="0"/>
              <w:autoSpaceDN w:val="0"/>
              <w:adjustRightInd w:val="0"/>
              <w:spacing w:before="60" w:after="20"/>
              <w:rPr>
                <w:rFonts w:ascii="Calibri" w:hAnsi="Calibri" w:cs="Calibri"/>
                <w:sz w:val="14"/>
                <w:szCs w:val="16"/>
              </w:rPr>
            </w:pPr>
            <w:r w:rsidRPr="00035C49">
              <w:rPr>
                <w:rFonts w:cs="Garamond"/>
                <w:sz w:val="14"/>
                <w:szCs w:val="16"/>
              </w:rPr>
              <w:t xml:space="preserve">In the Oslo-area the saved costs are 600-1 000 € per year for commuters. Some places </w:t>
            </w:r>
            <w:r w:rsidR="00C80645" w:rsidRPr="00035C49">
              <w:rPr>
                <w:rFonts w:cs="Garamond"/>
                <w:sz w:val="14"/>
                <w:szCs w:val="16"/>
              </w:rPr>
              <w:t>exceed</w:t>
            </w:r>
            <w:r w:rsidRPr="00035C49">
              <w:rPr>
                <w:rFonts w:cs="Garamond"/>
                <w:sz w:val="14"/>
                <w:szCs w:val="16"/>
              </w:rPr>
              <w:t xml:space="preserve"> 2 500 €/year </w:t>
            </w:r>
          </w:p>
        </w:tc>
        <w:tc>
          <w:tcPr>
            <w:tcW w:w="2014" w:type="pct"/>
            <w:vMerge w:val="restart"/>
            <w:tcBorders>
              <w:top w:val="single" w:sz="4" w:space="0" w:color="auto"/>
              <w:left w:val="single" w:sz="4" w:space="0" w:color="auto"/>
              <w:bottom w:val="single" w:sz="6" w:space="0" w:color="000000"/>
              <w:right w:val="single" w:sz="4" w:space="0" w:color="auto"/>
            </w:tcBorders>
            <w:vAlign w:val="center"/>
          </w:tcPr>
          <w:p w14:paraId="5C7FB3CF" w14:textId="262A6A82" w:rsidR="00F51AE0" w:rsidRPr="00035C49" w:rsidRDefault="00F51AE0" w:rsidP="003739BD">
            <w:pPr>
              <w:autoSpaceDE w:val="0"/>
              <w:autoSpaceDN w:val="0"/>
              <w:adjustRightInd w:val="0"/>
              <w:spacing w:before="60" w:after="20"/>
              <w:rPr>
                <w:rFonts w:ascii="Calibri" w:hAnsi="Calibri" w:cs="Calibri"/>
                <w:sz w:val="14"/>
                <w:szCs w:val="16"/>
              </w:rPr>
            </w:pPr>
            <w:r w:rsidRPr="00035C49">
              <w:rPr>
                <w:rFonts w:cs="Garamond"/>
                <w:sz w:val="14"/>
                <w:szCs w:val="16"/>
              </w:rPr>
              <w:t xml:space="preserve">The government will appraise the environmental effects of introducing differentiated fees for toll roads and ferries based on the environmental characteristics of vehicles as well as a low rate for BEVs and </w:t>
            </w:r>
            <w:r w:rsidR="003739BD">
              <w:rPr>
                <w:rFonts w:cs="Garamond"/>
                <w:sz w:val="14"/>
                <w:szCs w:val="16"/>
              </w:rPr>
              <w:t>I</w:t>
            </w:r>
            <w:r w:rsidRPr="00035C49">
              <w:rPr>
                <w:rFonts w:cs="Garamond"/>
                <w:sz w:val="14"/>
                <w:szCs w:val="16"/>
              </w:rPr>
              <w:t>CEVs.</w:t>
            </w:r>
          </w:p>
        </w:tc>
      </w:tr>
      <w:tr w:rsidR="00F51AE0" w:rsidRPr="00035C49" w14:paraId="64E9A15C" w14:textId="77777777" w:rsidTr="00F329FC">
        <w:trPr>
          <w:trHeight w:val="1"/>
        </w:trPr>
        <w:tc>
          <w:tcPr>
            <w:tcW w:w="817" w:type="pct"/>
            <w:tcBorders>
              <w:top w:val="single" w:sz="6" w:space="0" w:color="000000"/>
              <w:left w:val="single" w:sz="4" w:space="0" w:color="auto"/>
              <w:bottom w:val="single" w:sz="6" w:space="0" w:color="000000"/>
              <w:right w:val="single" w:sz="4" w:space="0" w:color="auto"/>
            </w:tcBorders>
            <w:shd w:val="clear" w:color="auto" w:fill="BFBFBF" w:themeFill="background1" w:themeFillShade="BF"/>
          </w:tcPr>
          <w:p w14:paraId="766826EA" w14:textId="77777777" w:rsidR="00F51AE0" w:rsidRPr="00035C49" w:rsidRDefault="00F51AE0" w:rsidP="00CD095E">
            <w:pPr>
              <w:autoSpaceDE w:val="0"/>
              <w:autoSpaceDN w:val="0"/>
              <w:adjustRightInd w:val="0"/>
              <w:spacing w:before="60" w:after="20"/>
              <w:ind w:right="-108"/>
              <w:rPr>
                <w:rFonts w:ascii="Calibri" w:hAnsi="Calibri" w:cs="Calibri"/>
                <w:sz w:val="14"/>
                <w:szCs w:val="16"/>
              </w:rPr>
            </w:pPr>
            <w:r w:rsidRPr="00035C49">
              <w:rPr>
                <w:rFonts w:cs="Garamond"/>
                <w:sz w:val="14"/>
                <w:szCs w:val="16"/>
              </w:rPr>
              <w:t>Reduced fares on ferries</w:t>
            </w:r>
          </w:p>
        </w:tc>
        <w:tc>
          <w:tcPr>
            <w:tcW w:w="546" w:type="pct"/>
            <w:tcBorders>
              <w:top w:val="single" w:sz="6" w:space="0" w:color="000000"/>
              <w:left w:val="single" w:sz="4" w:space="0" w:color="auto"/>
              <w:bottom w:val="single" w:sz="6" w:space="0" w:color="000000"/>
              <w:right w:val="single" w:sz="4" w:space="0" w:color="auto"/>
            </w:tcBorders>
          </w:tcPr>
          <w:p w14:paraId="14A9E50F" w14:textId="77777777" w:rsidR="00F51AE0" w:rsidRPr="00035C49" w:rsidRDefault="00F51AE0" w:rsidP="00CD095E">
            <w:pPr>
              <w:autoSpaceDE w:val="0"/>
              <w:autoSpaceDN w:val="0"/>
              <w:adjustRightInd w:val="0"/>
              <w:spacing w:before="60" w:after="20"/>
              <w:jc w:val="center"/>
              <w:rPr>
                <w:rFonts w:ascii="Calibri" w:hAnsi="Calibri" w:cs="Calibri"/>
                <w:sz w:val="14"/>
                <w:szCs w:val="16"/>
              </w:rPr>
            </w:pPr>
            <w:r w:rsidRPr="00035C49">
              <w:rPr>
                <w:rFonts w:cs="Garamond"/>
                <w:sz w:val="14"/>
                <w:szCs w:val="16"/>
              </w:rPr>
              <w:t>2009</w:t>
            </w:r>
          </w:p>
        </w:tc>
        <w:tc>
          <w:tcPr>
            <w:tcW w:w="1623" w:type="pct"/>
            <w:tcBorders>
              <w:top w:val="single" w:sz="6" w:space="0" w:color="000000"/>
              <w:left w:val="single" w:sz="4" w:space="0" w:color="auto"/>
              <w:bottom w:val="single" w:sz="6" w:space="0" w:color="000000"/>
              <w:right w:val="single" w:sz="4" w:space="0" w:color="auto"/>
            </w:tcBorders>
          </w:tcPr>
          <w:p w14:paraId="54C52247" w14:textId="77777777" w:rsidR="00F51AE0" w:rsidRPr="00035C49" w:rsidRDefault="00F51AE0" w:rsidP="00CD095E">
            <w:pPr>
              <w:autoSpaceDE w:val="0"/>
              <w:autoSpaceDN w:val="0"/>
              <w:adjustRightInd w:val="0"/>
              <w:spacing w:before="60" w:after="20"/>
              <w:rPr>
                <w:rFonts w:ascii="Calibri" w:hAnsi="Calibri" w:cs="Calibri"/>
                <w:sz w:val="14"/>
                <w:szCs w:val="16"/>
              </w:rPr>
            </w:pPr>
            <w:r w:rsidRPr="00035C49">
              <w:rPr>
                <w:rFonts w:cs="Garamond"/>
                <w:sz w:val="14"/>
                <w:szCs w:val="16"/>
              </w:rPr>
              <w:t xml:space="preserve">Similar to toll roads saving money for those using car ferries. </w:t>
            </w:r>
          </w:p>
        </w:tc>
        <w:tc>
          <w:tcPr>
            <w:tcW w:w="2014" w:type="pct"/>
            <w:vMerge/>
            <w:tcBorders>
              <w:top w:val="single" w:sz="6" w:space="0" w:color="000000"/>
              <w:left w:val="single" w:sz="4" w:space="0" w:color="auto"/>
              <w:bottom w:val="single" w:sz="6" w:space="0" w:color="000000"/>
              <w:right w:val="single" w:sz="4" w:space="0" w:color="auto"/>
            </w:tcBorders>
          </w:tcPr>
          <w:p w14:paraId="29C0CF9E" w14:textId="77777777" w:rsidR="00F51AE0" w:rsidRPr="00035C49" w:rsidRDefault="00F51AE0" w:rsidP="00CD095E">
            <w:pPr>
              <w:autoSpaceDE w:val="0"/>
              <w:autoSpaceDN w:val="0"/>
              <w:adjustRightInd w:val="0"/>
              <w:rPr>
                <w:rFonts w:ascii="Calibri" w:hAnsi="Calibri" w:cs="Calibri"/>
                <w:sz w:val="14"/>
                <w:szCs w:val="16"/>
              </w:rPr>
            </w:pPr>
          </w:p>
        </w:tc>
      </w:tr>
      <w:tr w:rsidR="00F51AE0" w:rsidRPr="00035C49" w14:paraId="0A9FD06F" w14:textId="77777777" w:rsidTr="00F329FC">
        <w:trPr>
          <w:trHeight w:val="1"/>
        </w:trPr>
        <w:tc>
          <w:tcPr>
            <w:tcW w:w="817" w:type="pct"/>
            <w:tcBorders>
              <w:top w:val="single" w:sz="6" w:space="0" w:color="000000"/>
              <w:left w:val="single" w:sz="4" w:space="0" w:color="auto"/>
              <w:bottom w:val="single" w:sz="6" w:space="0" w:color="000000"/>
              <w:right w:val="single" w:sz="4" w:space="0" w:color="auto"/>
            </w:tcBorders>
            <w:shd w:val="clear" w:color="auto" w:fill="BFBFBF" w:themeFill="background1" w:themeFillShade="BF"/>
          </w:tcPr>
          <w:p w14:paraId="71E032C4" w14:textId="77777777" w:rsidR="00F51AE0" w:rsidRPr="00035C49" w:rsidRDefault="00F51AE0" w:rsidP="00F51AE0">
            <w:pPr>
              <w:autoSpaceDE w:val="0"/>
              <w:autoSpaceDN w:val="0"/>
              <w:adjustRightInd w:val="0"/>
              <w:spacing w:before="60" w:after="20"/>
              <w:ind w:right="-108"/>
              <w:rPr>
                <w:rFonts w:ascii="Calibri" w:hAnsi="Calibri" w:cs="Calibri"/>
                <w:sz w:val="14"/>
                <w:szCs w:val="16"/>
              </w:rPr>
            </w:pPr>
            <w:r w:rsidRPr="00035C49">
              <w:rPr>
                <w:rFonts w:cs="Garamond"/>
                <w:sz w:val="14"/>
                <w:szCs w:val="16"/>
              </w:rPr>
              <w:t xml:space="preserve">Financial support for normal charging </w:t>
            </w:r>
          </w:p>
        </w:tc>
        <w:tc>
          <w:tcPr>
            <w:tcW w:w="546" w:type="pct"/>
            <w:tcBorders>
              <w:top w:val="single" w:sz="6" w:space="0" w:color="000000"/>
              <w:left w:val="single" w:sz="4" w:space="0" w:color="auto"/>
              <w:bottom w:val="single" w:sz="6" w:space="0" w:color="000000"/>
              <w:right w:val="single" w:sz="4" w:space="0" w:color="auto"/>
            </w:tcBorders>
          </w:tcPr>
          <w:p w14:paraId="41087C12" w14:textId="77777777" w:rsidR="00F51AE0" w:rsidRPr="00035C49" w:rsidRDefault="00F51AE0" w:rsidP="00CD095E">
            <w:pPr>
              <w:autoSpaceDE w:val="0"/>
              <w:autoSpaceDN w:val="0"/>
              <w:adjustRightInd w:val="0"/>
              <w:spacing w:before="60" w:after="20"/>
              <w:jc w:val="center"/>
              <w:rPr>
                <w:rFonts w:ascii="Calibri" w:hAnsi="Calibri" w:cs="Calibri"/>
                <w:sz w:val="14"/>
                <w:szCs w:val="16"/>
              </w:rPr>
            </w:pPr>
            <w:r w:rsidRPr="00035C49">
              <w:rPr>
                <w:rFonts w:cs="Garamond"/>
                <w:sz w:val="14"/>
                <w:szCs w:val="16"/>
              </w:rPr>
              <w:t>2009</w:t>
            </w:r>
          </w:p>
        </w:tc>
        <w:tc>
          <w:tcPr>
            <w:tcW w:w="1623" w:type="pct"/>
            <w:tcBorders>
              <w:top w:val="single" w:sz="6" w:space="0" w:color="000000"/>
              <w:left w:val="single" w:sz="4" w:space="0" w:color="auto"/>
              <w:bottom w:val="single" w:sz="6" w:space="0" w:color="000000"/>
              <w:right w:val="single" w:sz="4" w:space="0" w:color="auto"/>
            </w:tcBorders>
          </w:tcPr>
          <w:p w14:paraId="7D8C838B" w14:textId="77777777" w:rsidR="00F51AE0" w:rsidRPr="00035C49" w:rsidRDefault="00F51AE0" w:rsidP="00CD095E">
            <w:pPr>
              <w:autoSpaceDE w:val="0"/>
              <w:autoSpaceDN w:val="0"/>
              <w:adjustRightInd w:val="0"/>
              <w:spacing w:before="60" w:after="20"/>
              <w:rPr>
                <w:rFonts w:ascii="Calibri" w:hAnsi="Calibri" w:cs="Calibri"/>
                <w:sz w:val="14"/>
                <w:szCs w:val="16"/>
              </w:rPr>
            </w:pPr>
            <w:r w:rsidRPr="00035C49">
              <w:rPr>
                <w:rFonts w:cs="Garamond"/>
                <w:sz w:val="14"/>
                <w:szCs w:val="16"/>
              </w:rPr>
              <w:t>Reduce the economic risk for investors in charging stations, reduce range anxiety and expand usage options.</w:t>
            </w:r>
          </w:p>
        </w:tc>
        <w:tc>
          <w:tcPr>
            <w:tcW w:w="2014" w:type="pct"/>
            <w:tcBorders>
              <w:top w:val="single" w:sz="6" w:space="0" w:color="000000"/>
              <w:left w:val="single" w:sz="4" w:space="0" w:color="auto"/>
              <w:bottom w:val="single" w:sz="6" w:space="0" w:color="000000"/>
              <w:right w:val="single" w:sz="4" w:space="0" w:color="auto"/>
            </w:tcBorders>
          </w:tcPr>
          <w:p w14:paraId="129F76DE" w14:textId="77777777" w:rsidR="00F51AE0" w:rsidRPr="00035C49" w:rsidRDefault="00F51AE0" w:rsidP="00CD095E">
            <w:pPr>
              <w:autoSpaceDE w:val="0"/>
              <w:autoSpaceDN w:val="0"/>
              <w:adjustRightInd w:val="0"/>
              <w:spacing w:before="60" w:after="20"/>
              <w:rPr>
                <w:rFonts w:ascii="Calibri" w:hAnsi="Calibri" w:cs="Calibri"/>
                <w:sz w:val="14"/>
                <w:szCs w:val="16"/>
              </w:rPr>
            </w:pPr>
          </w:p>
        </w:tc>
      </w:tr>
      <w:tr w:rsidR="00F51AE0" w:rsidRPr="00035C49" w14:paraId="3FF8D3D1" w14:textId="77777777" w:rsidTr="00F329FC">
        <w:trPr>
          <w:trHeight w:val="1"/>
        </w:trPr>
        <w:tc>
          <w:tcPr>
            <w:tcW w:w="817" w:type="pct"/>
            <w:tcBorders>
              <w:top w:val="single" w:sz="6" w:space="0" w:color="000000"/>
              <w:left w:val="single" w:sz="4" w:space="0" w:color="auto"/>
              <w:bottom w:val="single" w:sz="4" w:space="0" w:color="auto"/>
              <w:right w:val="single" w:sz="4" w:space="0" w:color="auto"/>
            </w:tcBorders>
            <w:shd w:val="clear" w:color="auto" w:fill="BFBFBF" w:themeFill="background1" w:themeFillShade="BF"/>
          </w:tcPr>
          <w:p w14:paraId="300BE520" w14:textId="77777777" w:rsidR="00F51AE0" w:rsidRPr="00035C49" w:rsidRDefault="00F51AE0" w:rsidP="00CD095E">
            <w:pPr>
              <w:autoSpaceDE w:val="0"/>
              <w:autoSpaceDN w:val="0"/>
              <w:adjustRightInd w:val="0"/>
              <w:spacing w:before="60" w:after="20"/>
              <w:ind w:right="-108"/>
              <w:rPr>
                <w:rFonts w:ascii="Calibri" w:hAnsi="Calibri" w:cs="Calibri"/>
                <w:sz w:val="14"/>
                <w:szCs w:val="16"/>
              </w:rPr>
            </w:pPr>
            <w:r w:rsidRPr="00035C49">
              <w:rPr>
                <w:rFonts w:cs="Garamond"/>
                <w:sz w:val="14"/>
                <w:szCs w:val="16"/>
              </w:rPr>
              <w:t xml:space="preserve">Financial support for fast charging </w:t>
            </w:r>
          </w:p>
        </w:tc>
        <w:tc>
          <w:tcPr>
            <w:tcW w:w="546" w:type="pct"/>
            <w:tcBorders>
              <w:top w:val="single" w:sz="6" w:space="0" w:color="000000"/>
              <w:left w:val="single" w:sz="4" w:space="0" w:color="auto"/>
              <w:bottom w:val="single" w:sz="4" w:space="0" w:color="auto"/>
              <w:right w:val="single" w:sz="4" w:space="0" w:color="auto"/>
            </w:tcBorders>
          </w:tcPr>
          <w:p w14:paraId="5361DC4F" w14:textId="77777777" w:rsidR="00F51AE0" w:rsidRPr="00035C49" w:rsidRDefault="00F51AE0" w:rsidP="00CD095E">
            <w:pPr>
              <w:autoSpaceDE w:val="0"/>
              <w:autoSpaceDN w:val="0"/>
              <w:adjustRightInd w:val="0"/>
              <w:spacing w:before="60" w:after="20"/>
              <w:jc w:val="center"/>
              <w:rPr>
                <w:rFonts w:ascii="Calibri" w:hAnsi="Calibri" w:cs="Calibri"/>
                <w:sz w:val="14"/>
                <w:szCs w:val="16"/>
              </w:rPr>
            </w:pPr>
            <w:r w:rsidRPr="00035C49">
              <w:rPr>
                <w:rFonts w:cs="Garamond"/>
                <w:sz w:val="14"/>
                <w:szCs w:val="16"/>
              </w:rPr>
              <w:t>2011</w:t>
            </w:r>
          </w:p>
        </w:tc>
        <w:tc>
          <w:tcPr>
            <w:tcW w:w="1623" w:type="pct"/>
            <w:tcBorders>
              <w:top w:val="single" w:sz="6" w:space="0" w:color="000000"/>
              <w:left w:val="single" w:sz="4" w:space="0" w:color="auto"/>
              <w:bottom w:val="single" w:sz="4" w:space="0" w:color="auto"/>
              <w:right w:val="single" w:sz="4" w:space="0" w:color="auto"/>
            </w:tcBorders>
          </w:tcPr>
          <w:p w14:paraId="6C4D9AD0" w14:textId="77777777" w:rsidR="00F51AE0" w:rsidRPr="00035C49" w:rsidRDefault="00F51AE0" w:rsidP="00F51AE0">
            <w:pPr>
              <w:autoSpaceDE w:val="0"/>
              <w:autoSpaceDN w:val="0"/>
              <w:adjustRightInd w:val="0"/>
              <w:spacing w:before="60" w:after="20"/>
              <w:rPr>
                <w:rFonts w:ascii="Calibri" w:hAnsi="Calibri" w:cs="Calibri"/>
                <w:sz w:val="14"/>
                <w:szCs w:val="16"/>
              </w:rPr>
            </w:pPr>
            <w:r w:rsidRPr="00035C49">
              <w:rPr>
                <w:rFonts w:cs="Garamond"/>
                <w:sz w:val="14"/>
                <w:szCs w:val="16"/>
              </w:rPr>
              <w:t xml:space="preserve">Fast charging stations increases BEV miles driven &amp; market. </w:t>
            </w:r>
          </w:p>
        </w:tc>
        <w:tc>
          <w:tcPr>
            <w:tcW w:w="2014" w:type="pct"/>
            <w:tcBorders>
              <w:top w:val="single" w:sz="6" w:space="0" w:color="000000"/>
              <w:left w:val="single" w:sz="4" w:space="0" w:color="auto"/>
              <w:bottom w:val="single" w:sz="4" w:space="0" w:color="auto"/>
              <w:right w:val="single" w:sz="4" w:space="0" w:color="auto"/>
            </w:tcBorders>
          </w:tcPr>
          <w:p w14:paraId="78390EC7" w14:textId="77777777" w:rsidR="00F51AE0" w:rsidRPr="00035C49" w:rsidRDefault="00F51AE0" w:rsidP="00CD095E">
            <w:pPr>
              <w:autoSpaceDE w:val="0"/>
              <w:autoSpaceDN w:val="0"/>
              <w:adjustRightInd w:val="0"/>
              <w:spacing w:before="60" w:after="20"/>
              <w:rPr>
                <w:rFonts w:ascii="Calibri" w:hAnsi="Calibri" w:cs="Calibri"/>
                <w:sz w:val="14"/>
                <w:szCs w:val="16"/>
              </w:rPr>
            </w:pPr>
          </w:p>
        </w:tc>
      </w:tr>
      <w:tr w:rsidR="00045D83" w:rsidRPr="00035C49" w14:paraId="61C291A2" w14:textId="77777777" w:rsidTr="00045D83">
        <w:trPr>
          <w:trHeight w:val="1"/>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E2C594" w14:textId="77777777" w:rsidR="00045D83" w:rsidRPr="00035C49" w:rsidRDefault="00045D83" w:rsidP="00515507">
            <w:pPr>
              <w:autoSpaceDE w:val="0"/>
              <w:autoSpaceDN w:val="0"/>
              <w:adjustRightInd w:val="0"/>
              <w:spacing w:before="60" w:after="20"/>
              <w:rPr>
                <w:rFonts w:ascii="Calibri" w:hAnsi="Calibri" w:cs="Calibri"/>
                <w:sz w:val="14"/>
                <w:szCs w:val="16"/>
              </w:rPr>
            </w:pPr>
            <w:r w:rsidRPr="00035C49">
              <w:rPr>
                <w:rFonts w:cs="Garamond"/>
                <w:bCs/>
                <w:sz w:val="14"/>
                <w:szCs w:val="16"/>
              </w:rPr>
              <w:t>User privileges: Reduction of time costs and providing users with relative advantages</w:t>
            </w:r>
          </w:p>
        </w:tc>
      </w:tr>
      <w:tr w:rsidR="00F51AE0" w:rsidRPr="00035C49" w14:paraId="0FEFF16D" w14:textId="77777777" w:rsidTr="00F329FC">
        <w:trPr>
          <w:trHeight w:val="1"/>
        </w:trPr>
        <w:tc>
          <w:tcPr>
            <w:tcW w:w="817" w:type="pct"/>
            <w:tcBorders>
              <w:top w:val="single" w:sz="4" w:space="0" w:color="auto"/>
              <w:left w:val="single" w:sz="4" w:space="0" w:color="auto"/>
              <w:bottom w:val="single" w:sz="6" w:space="0" w:color="000000"/>
              <w:right w:val="single" w:sz="4" w:space="0" w:color="auto"/>
            </w:tcBorders>
            <w:shd w:val="clear" w:color="auto" w:fill="BFBFBF" w:themeFill="background1" w:themeFillShade="BF"/>
          </w:tcPr>
          <w:p w14:paraId="0059F003" w14:textId="77777777" w:rsidR="00F51AE0" w:rsidRPr="00035C49" w:rsidRDefault="00F51AE0" w:rsidP="00CD095E">
            <w:pPr>
              <w:autoSpaceDE w:val="0"/>
              <w:autoSpaceDN w:val="0"/>
              <w:adjustRightInd w:val="0"/>
              <w:spacing w:before="60" w:after="20"/>
              <w:ind w:right="-108"/>
              <w:rPr>
                <w:rFonts w:ascii="Calibri" w:hAnsi="Calibri" w:cs="Calibri"/>
                <w:sz w:val="14"/>
                <w:szCs w:val="16"/>
              </w:rPr>
            </w:pPr>
            <w:r w:rsidRPr="00035C49">
              <w:rPr>
                <w:rFonts w:cs="Garamond"/>
                <w:sz w:val="14"/>
                <w:szCs w:val="16"/>
              </w:rPr>
              <w:t>Access to bus lanes</w:t>
            </w:r>
          </w:p>
        </w:tc>
        <w:tc>
          <w:tcPr>
            <w:tcW w:w="546" w:type="pct"/>
            <w:tcBorders>
              <w:top w:val="single" w:sz="4" w:space="0" w:color="auto"/>
              <w:left w:val="single" w:sz="4" w:space="0" w:color="auto"/>
              <w:bottom w:val="single" w:sz="6" w:space="0" w:color="000000"/>
              <w:right w:val="single" w:sz="4" w:space="0" w:color="auto"/>
            </w:tcBorders>
          </w:tcPr>
          <w:p w14:paraId="155955BF" w14:textId="77777777" w:rsidR="00F51AE0" w:rsidRPr="00035C49" w:rsidRDefault="00F51AE0" w:rsidP="00CD095E">
            <w:pPr>
              <w:autoSpaceDE w:val="0"/>
              <w:autoSpaceDN w:val="0"/>
              <w:adjustRightInd w:val="0"/>
              <w:spacing w:before="60" w:after="20"/>
              <w:jc w:val="center"/>
              <w:rPr>
                <w:rFonts w:ascii="Calibri" w:hAnsi="Calibri" w:cs="Calibri"/>
                <w:sz w:val="14"/>
                <w:szCs w:val="16"/>
              </w:rPr>
            </w:pPr>
            <w:r w:rsidRPr="00035C49">
              <w:rPr>
                <w:rFonts w:cs="Garamond"/>
                <w:sz w:val="14"/>
                <w:szCs w:val="16"/>
              </w:rPr>
              <w:t>2003/2005</w:t>
            </w:r>
          </w:p>
        </w:tc>
        <w:tc>
          <w:tcPr>
            <w:tcW w:w="1623" w:type="pct"/>
            <w:tcBorders>
              <w:top w:val="single" w:sz="4" w:space="0" w:color="auto"/>
              <w:left w:val="single" w:sz="4" w:space="0" w:color="auto"/>
              <w:bottom w:val="single" w:sz="6" w:space="0" w:color="000000"/>
              <w:right w:val="single" w:sz="4" w:space="0" w:color="auto"/>
            </w:tcBorders>
          </w:tcPr>
          <w:p w14:paraId="1F3B2BC6" w14:textId="1B021224" w:rsidR="00F51AE0" w:rsidRPr="00035C49" w:rsidRDefault="00F51AE0" w:rsidP="00002E34">
            <w:pPr>
              <w:autoSpaceDE w:val="0"/>
              <w:autoSpaceDN w:val="0"/>
              <w:adjustRightInd w:val="0"/>
              <w:spacing w:before="60" w:after="20"/>
              <w:rPr>
                <w:rFonts w:ascii="Calibri" w:hAnsi="Calibri" w:cs="Calibri"/>
                <w:sz w:val="14"/>
                <w:szCs w:val="16"/>
              </w:rPr>
            </w:pPr>
            <w:r w:rsidRPr="00035C49">
              <w:rPr>
                <w:rFonts w:cs="Garamond"/>
                <w:sz w:val="14"/>
                <w:szCs w:val="16"/>
              </w:rPr>
              <w:t xml:space="preserve">BEV users save time driving to work in the bus lane during rush hours. High value in regions with large delays. </w:t>
            </w:r>
          </w:p>
        </w:tc>
        <w:tc>
          <w:tcPr>
            <w:tcW w:w="2014" w:type="pct"/>
            <w:tcBorders>
              <w:top w:val="single" w:sz="4" w:space="0" w:color="auto"/>
              <w:left w:val="single" w:sz="4" w:space="0" w:color="auto"/>
              <w:bottom w:val="single" w:sz="6" w:space="0" w:color="000000"/>
              <w:right w:val="single" w:sz="4" w:space="0" w:color="auto"/>
            </w:tcBorders>
          </w:tcPr>
          <w:p w14:paraId="3C0B134B" w14:textId="195B0A1D" w:rsidR="00F51AE0" w:rsidRPr="00035C49" w:rsidRDefault="00F51AE0" w:rsidP="00002E34">
            <w:pPr>
              <w:autoSpaceDE w:val="0"/>
              <w:autoSpaceDN w:val="0"/>
              <w:adjustRightInd w:val="0"/>
              <w:spacing w:before="60" w:after="20"/>
              <w:rPr>
                <w:rFonts w:ascii="Calibri" w:hAnsi="Calibri" w:cs="Calibri"/>
                <w:sz w:val="14"/>
                <w:szCs w:val="16"/>
              </w:rPr>
            </w:pPr>
            <w:r w:rsidRPr="00035C49">
              <w:rPr>
                <w:rFonts w:cs="Garamond"/>
                <w:sz w:val="14"/>
                <w:szCs w:val="16"/>
              </w:rPr>
              <w:t xml:space="preserve">Local authorities may be given the possibility to introduce restrictions if zero emission vehicles hinder busses’ ability to navigate the bus lanes. </w:t>
            </w:r>
          </w:p>
        </w:tc>
      </w:tr>
      <w:tr w:rsidR="00F51AE0" w:rsidRPr="00035C49" w14:paraId="5E06A48E" w14:textId="77777777" w:rsidTr="00F329FC">
        <w:trPr>
          <w:trHeight w:val="1"/>
        </w:trPr>
        <w:tc>
          <w:tcPr>
            <w:tcW w:w="817" w:type="pct"/>
            <w:tcBorders>
              <w:top w:val="single" w:sz="6" w:space="0" w:color="000000"/>
              <w:left w:val="single" w:sz="4" w:space="0" w:color="auto"/>
              <w:bottom w:val="single" w:sz="6" w:space="0" w:color="000000"/>
              <w:right w:val="single" w:sz="4" w:space="0" w:color="auto"/>
            </w:tcBorders>
            <w:shd w:val="clear" w:color="auto" w:fill="BFBFBF" w:themeFill="background1" w:themeFillShade="BF"/>
          </w:tcPr>
          <w:p w14:paraId="030D9986" w14:textId="77777777" w:rsidR="00F51AE0" w:rsidRPr="00035C49" w:rsidRDefault="00F51AE0" w:rsidP="00CD095E">
            <w:pPr>
              <w:autoSpaceDE w:val="0"/>
              <w:autoSpaceDN w:val="0"/>
              <w:adjustRightInd w:val="0"/>
              <w:spacing w:before="60" w:after="20"/>
              <w:ind w:right="-108"/>
              <w:rPr>
                <w:rFonts w:ascii="Calibri" w:hAnsi="Calibri" w:cs="Calibri"/>
                <w:sz w:val="14"/>
                <w:szCs w:val="16"/>
              </w:rPr>
            </w:pPr>
            <w:r w:rsidRPr="00035C49">
              <w:rPr>
                <w:rFonts w:cs="Garamond"/>
                <w:sz w:val="14"/>
                <w:szCs w:val="16"/>
              </w:rPr>
              <w:t>Free parking</w:t>
            </w:r>
          </w:p>
        </w:tc>
        <w:tc>
          <w:tcPr>
            <w:tcW w:w="546" w:type="pct"/>
            <w:tcBorders>
              <w:top w:val="single" w:sz="6" w:space="0" w:color="000000"/>
              <w:left w:val="single" w:sz="4" w:space="0" w:color="auto"/>
              <w:bottom w:val="single" w:sz="6" w:space="0" w:color="000000"/>
              <w:right w:val="single" w:sz="4" w:space="0" w:color="auto"/>
            </w:tcBorders>
          </w:tcPr>
          <w:p w14:paraId="3BC762A0" w14:textId="77777777" w:rsidR="00F51AE0" w:rsidRPr="00035C49" w:rsidRDefault="00F51AE0" w:rsidP="00CD095E">
            <w:pPr>
              <w:autoSpaceDE w:val="0"/>
              <w:autoSpaceDN w:val="0"/>
              <w:adjustRightInd w:val="0"/>
              <w:spacing w:before="60" w:after="20"/>
              <w:jc w:val="center"/>
              <w:rPr>
                <w:rFonts w:ascii="Calibri" w:hAnsi="Calibri" w:cs="Calibri"/>
                <w:sz w:val="14"/>
                <w:szCs w:val="16"/>
              </w:rPr>
            </w:pPr>
            <w:r w:rsidRPr="00035C49">
              <w:rPr>
                <w:rFonts w:cs="Garamond"/>
                <w:sz w:val="14"/>
                <w:szCs w:val="16"/>
              </w:rPr>
              <w:t>1999</w:t>
            </w:r>
          </w:p>
        </w:tc>
        <w:tc>
          <w:tcPr>
            <w:tcW w:w="1623" w:type="pct"/>
            <w:tcBorders>
              <w:top w:val="single" w:sz="6" w:space="0" w:color="000000"/>
              <w:left w:val="single" w:sz="4" w:space="0" w:color="auto"/>
              <w:bottom w:val="single" w:sz="6" w:space="0" w:color="000000"/>
              <w:right w:val="single" w:sz="4" w:space="0" w:color="auto"/>
            </w:tcBorders>
          </w:tcPr>
          <w:p w14:paraId="6B1F6FC3" w14:textId="77777777" w:rsidR="00F51AE0" w:rsidRPr="00035C49" w:rsidRDefault="00F51AE0" w:rsidP="00CD095E">
            <w:pPr>
              <w:autoSpaceDE w:val="0"/>
              <w:autoSpaceDN w:val="0"/>
              <w:adjustRightInd w:val="0"/>
              <w:spacing w:before="60" w:after="20"/>
              <w:rPr>
                <w:rFonts w:ascii="Calibri" w:hAnsi="Calibri" w:cs="Calibri"/>
                <w:sz w:val="14"/>
                <w:szCs w:val="16"/>
              </w:rPr>
            </w:pPr>
            <w:r w:rsidRPr="00035C49">
              <w:rPr>
                <w:rFonts w:cs="Garamond"/>
                <w:sz w:val="14"/>
                <w:szCs w:val="16"/>
              </w:rPr>
              <w:t>Users get a parking space where these are scarce or expensive and save time looking for a space.</w:t>
            </w:r>
          </w:p>
        </w:tc>
        <w:tc>
          <w:tcPr>
            <w:tcW w:w="2014" w:type="pct"/>
            <w:tcBorders>
              <w:top w:val="single" w:sz="6" w:space="0" w:color="000000"/>
              <w:left w:val="single" w:sz="4" w:space="0" w:color="auto"/>
              <w:bottom w:val="single" w:sz="6" w:space="0" w:color="000000"/>
              <w:right w:val="single" w:sz="4" w:space="0" w:color="auto"/>
            </w:tcBorders>
          </w:tcPr>
          <w:p w14:paraId="300F824E" w14:textId="77777777" w:rsidR="00F51AE0" w:rsidRPr="00035C49" w:rsidRDefault="00F51AE0" w:rsidP="00CD095E">
            <w:pPr>
              <w:autoSpaceDE w:val="0"/>
              <w:autoSpaceDN w:val="0"/>
              <w:adjustRightInd w:val="0"/>
              <w:spacing w:before="60" w:after="20"/>
              <w:rPr>
                <w:rFonts w:ascii="Calibri" w:hAnsi="Calibri" w:cs="Calibri"/>
                <w:sz w:val="14"/>
                <w:szCs w:val="16"/>
              </w:rPr>
            </w:pPr>
            <w:r w:rsidRPr="00035C49">
              <w:rPr>
                <w:rFonts w:cs="Garamond"/>
                <w:sz w:val="14"/>
                <w:szCs w:val="16"/>
              </w:rPr>
              <w:t>Local authorities will be given the authority to decide whether this incentive is to continue in their jurisdictional district</w:t>
            </w:r>
          </w:p>
        </w:tc>
      </w:tr>
      <w:tr w:rsidR="00F51AE0" w:rsidRPr="00035C49" w14:paraId="4CB45425" w14:textId="77777777" w:rsidTr="00F329FC">
        <w:trPr>
          <w:trHeight w:val="1"/>
        </w:trPr>
        <w:tc>
          <w:tcPr>
            <w:tcW w:w="817" w:type="pct"/>
            <w:tcBorders>
              <w:top w:val="single" w:sz="6" w:space="0" w:color="000000"/>
              <w:left w:val="single" w:sz="4" w:space="0" w:color="auto"/>
              <w:bottom w:val="single" w:sz="12" w:space="0" w:color="000000"/>
              <w:right w:val="single" w:sz="4" w:space="0" w:color="auto"/>
            </w:tcBorders>
            <w:shd w:val="clear" w:color="auto" w:fill="BFBFBF" w:themeFill="background1" w:themeFillShade="BF"/>
          </w:tcPr>
          <w:p w14:paraId="3FE3BA98" w14:textId="77777777" w:rsidR="00F51AE0" w:rsidRPr="00035C49" w:rsidRDefault="00F51AE0" w:rsidP="00CD095E">
            <w:pPr>
              <w:autoSpaceDE w:val="0"/>
              <w:autoSpaceDN w:val="0"/>
              <w:adjustRightInd w:val="0"/>
              <w:spacing w:before="60" w:after="20"/>
              <w:ind w:right="-108"/>
              <w:rPr>
                <w:rFonts w:ascii="Calibri" w:hAnsi="Calibri" w:cs="Calibri"/>
                <w:sz w:val="14"/>
                <w:szCs w:val="16"/>
              </w:rPr>
            </w:pPr>
            <w:r w:rsidRPr="00035C49">
              <w:rPr>
                <w:rFonts w:cs="Garamond"/>
                <w:sz w:val="14"/>
                <w:szCs w:val="16"/>
              </w:rPr>
              <w:t>Free charging</w:t>
            </w:r>
          </w:p>
        </w:tc>
        <w:tc>
          <w:tcPr>
            <w:tcW w:w="546" w:type="pct"/>
            <w:tcBorders>
              <w:top w:val="single" w:sz="6" w:space="0" w:color="000000"/>
              <w:left w:val="single" w:sz="4" w:space="0" w:color="auto"/>
              <w:bottom w:val="single" w:sz="9" w:space="0" w:color="000000"/>
              <w:right w:val="single" w:sz="4" w:space="0" w:color="auto"/>
            </w:tcBorders>
          </w:tcPr>
          <w:p w14:paraId="1E7A3F59" w14:textId="77777777" w:rsidR="00F51AE0" w:rsidRPr="00035C49" w:rsidRDefault="00F51AE0" w:rsidP="00CD095E">
            <w:pPr>
              <w:autoSpaceDE w:val="0"/>
              <w:autoSpaceDN w:val="0"/>
              <w:adjustRightInd w:val="0"/>
              <w:spacing w:before="60" w:after="20"/>
              <w:jc w:val="center"/>
              <w:rPr>
                <w:rFonts w:ascii="Calibri" w:hAnsi="Calibri" w:cs="Calibri"/>
                <w:sz w:val="14"/>
                <w:szCs w:val="16"/>
              </w:rPr>
            </w:pPr>
          </w:p>
        </w:tc>
        <w:tc>
          <w:tcPr>
            <w:tcW w:w="1623" w:type="pct"/>
            <w:tcBorders>
              <w:top w:val="single" w:sz="6" w:space="0" w:color="000000"/>
              <w:left w:val="single" w:sz="4" w:space="0" w:color="auto"/>
              <w:bottom w:val="single" w:sz="12" w:space="0" w:color="000000"/>
              <w:right w:val="single" w:sz="4" w:space="0" w:color="auto"/>
            </w:tcBorders>
          </w:tcPr>
          <w:p w14:paraId="52DD02E9" w14:textId="77777777" w:rsidR="00F51AE0" w:rsidRPr="00035C49" w:rsidRDefault="00F51AE0" w:rsidP="00CD095E">
            <w:pPr>
              <w:autoSpaceDE w:val="0"/>
              <w:autoSpaceDN w:val="0"/>
              <w:adjustRightInd w:val="0"/>
              <w:spacing w:before="60" w:after="20"/>
              <w:rPr>
                <w:rFonts w:ascii="Calibri" w:hAnsi="Calibri" w:cs="Calibri"/>
                <w:sz w:val="14"/>
                <w:szCs w:val="16"/>
              </w:rPr>
            </w:pPr>
            <w:r w:rsidRPr="00035C49">
              <w:rPr>
                <w:rFonts w:cs="Garamond"/>
                <w:sz w:val="14"/>
                <w:szCs w:val="16"/>
              </w:rPr>
              <w:t>Not regulated in national laws, but is often bundled with free parking</w:t>
            </w:r>
          </w:p>
        </w:tc>
        <w:tc>
          <w:tcPr>
            <w:tcW w:w="2014" w:type="pct"/>
            <w:tcBorders>
              <w:top w:val="single" w:sz="6" w:space="0" w:color="000000"/>
              <w:left w:val="single" w:sz="4" w:space="0" w:color="auto"/>
              <w:bottom w:val="single" w:sz="9" w:space="0" w:color="000000"/>
              <w:right w:val="single" w:sz="4" w:space="0" w:color="auto"/>
            </w:tcBorders>
          </w:tcPr>
          <w:p w14:paraId="03C58CB9" w14:textId="77777777" w:rsidR="00F51AE0" w:rsidRPr="00035C49" w:rsidRDefault="00F51AE0" w:rsidP="00CD095E">
            <w:pPr>
              <w:autoSpaceDE w:val="0"/>
              <w:autoSpaceDN w:val="0"/>
              <w:adjustRightInd w:val="0"/>
              <w:spacing w:before="60" w:after="20"/>
              <w:rPr>
                <w:rFonts w:ascii="Calibri" w:hAnsi="Calibri" w:cs="Calibri"/>
                <w:sz w:val="14"/>
                <w:szCs w:val="16"/>
              </w:rPr>
            </w:pPr>
            <w:r w:rsidRPr="00035C49">
              <w:rPr>
                <w:rFonts w:cs="Garamond"/>
                <w:sz w:val="14"/>
                <w:szCs w:val="16"/>
              </w:rPr>
              <w:t xml:space="preserve">Local authorities will be given the authority to decide whether this incentive is to continue </w:t>
            </w:r>
          </w:p>
        </w:tc>
      </w:tr>
    </w:tbl>
    <w:p w14:paraId="3D0CFF76" w14:textId="77777777" w:rsidR="00267A48" w:rsidRPr="00035C49" w:rsidRDefault="00267A48" w:rsidP="00267A48"/>
    <w:p w14:paraId="43544E0B" w14:textId="77777777" w:rsidR="00772E40" w:rsidRPr="003739BD" w:rsidRDefault="00772E40" w:rsidP="003739BD">
      <w:pPr>
        <w:pStyle w:val="Overskrift1"/>
      </w:pPr>
      <w:r w:rsidRPr="003739BD">
        <w:t>Theoretical framework</w:t>
      </w:r>
    </w:p>
    <w:p w14:paraId="1442C607" w14:textId="2C708C71" w:rsidR="007703EC" w:rsidRDefault="007703EC" w:rsidP="007703EC">
      <w:r w:rsidRPr="00035C49">
        <w:t xml:space="preserve">The consumer adoption of BEVs </w:t>
      </w:r>
      <w:r w:rsidR="00C12E30" w:rsidRPr="00035C49">
        <w:t xml:space="preserve">on the national scale in Norway </w:t>
      </w:r>
      <w:r w:rsidRPr="00035C49">
        <w:t xml:space="preserve">will mainly </w:t>
      </w:r>
      <w:r w:rsidR="00B54C3A">
        <w:t>focus</w:t>
      </w:r>
      <w:r w:rsidRPr="00035C49">
        <w:t xml:space="preserve"> on the period after 2010, when the users had options for real choices. Rogers’ theory </w:t>
      </w:r>
      <w:r w:rsidR="00B54C3A">
        <w:t xml:space="preserve">of diffusion of innovations </w:t>
      </w:r>
      <w:r w:rsidRPr="00035C49">
        <w:t xml:space="preserve">has been selected as </w:t>
      </w:r>
      <w:r w:rsidR="00B54C3A">
        <w:t xml:space="preserve">the analytical framework as </w:t>
      </w:r>
      <w:r w:rsidRPr="00035C49">
        <w:t>it is suitable for studying diffusion within markets and population</w:t>
      </w:r>
      <w:r w:rsidR="00E57514" w:rsidRPr="00035C49">
        <w:t>s</w:t>
      </w:r>
      <w:r w:rsidR="00B54C3A">
        <w:t>, assuming that</w:t>
      </w:r>
      <w:r w:rsidRPr="00035C49">
        <w:t xml:space="preserve"> policies and incentives are given exogenously. To study policy interventions</w:t>
      </w:r>
      <w:r w:rsidR="00B54C3A">
        <w:t>,</w:t>
      </w:r>
      <w:r w:rsidRPr="00035C49">
        <w:t xml:space="preserve"> other theories such as Geels’ Multi-Level Perspective might be more suitable (</w:t>
      </w:r>
      <w:r w:rsidRPr="0095792A">
        <w:t>Geels, 2012</w:t>
      </w:r>
      <w:r w:rsidR="001C7B34" w:rsidRPr="0095792A">
        <w:t xml:space="preserve">, Figenbaum </w:t>
      </w:r>
      <w:r w:rsidR="00214A97" w:rsidRPr="0095792A">
        <w:t>&amp;</w:t>
      </w:r>
      <w:r w:rsidR="001C7B34" w:rsidRPr="0095792A">
        <w:t xml:space="preserve"> Kolbenstvedt 2015</w:t>
      </w:r>
      <w:r w:rsidR="002F42AE" w:rsidRPr="0095792A">
        <w:t>a</w:t>
      </w:r>
      <w:r w:rsidRPr="0095792A">
        <w:t>)</w:t>
      </w:r>
      <w:r w:rsidRPr="00035C49">
        <w:t xml:space="preserve">. </w:t>
      </w:r>
    </w:p>
    <w:p w14:paraId="7B280035" w14:textId="2AF4A1A1" w:rsidR="00E2283F" w:rsidRDefault="00E2283F" w:rsidP="007703EC"/>
    <w:p w14:paraId="05E95563" w14:textId="77777777" w:rsidR="00E2283F" w:rsidRPr="00035C49" w:rsidRDefault="00E2283F" w:rsidP="007703EC"/>
    <w:p w14:paraId="78441232" w14:textId="77777777" w:rsidR="005D6201" w:rsidRPr="005D6201" w:rsidRDefault="005D6201" w:rsidP="005D6201">
      <w:pPr>
        <w:pStyle w:val="Listeavsnitt"/>
        <w:numPr>
          <w:ilvl w:val="0"/>
          <w:numId w:val="7"/>
        </w:numPr>
        <w:spacing w:before="240" w:after="240" w:line="240" w:lineRule="auto"/>
        <w:jc w:val="both"/>
        <w:outlineLvl w:val="1"/>
        <w:rPr>
          <w:b/>
          <w:vanish/>
        </w:rPr>
      </w:pPr>
    </w:p>
    <w:p w14:paraId="15455AA1" w14:textId="77777777" w:rsidR="005D6201" w:rsidRPr="005D6201" w:rsidRDefault="005D6201" w:rsidP="005D6201">
      <w:pPr>
        <w:pStyle w:val="Listeavsnitt"/>
        <w:numPr>
          <w:ilvl w:val="0"/>
          <w:numId w:val="7"/>
        </w:numPr>
        <w:spacing w:before="240" w:after="240" w:line="240" w:lineRule="auto"/>
        <w:jc w:val="both"/>
        <w:outlineLvl w:val="1"/>
        <w:rPr>
          <w:b/>
          <w:vanish/>
        </w:rPr>
      </w:pPr>
    </w:p>
    <w:p w14:paraId="7EEC2251" w14:textId="77777777" w:rsidR="005D6201" w:rsidRPr="005D6201" w:rsidRDefault="005D6201" w:rsidP="005D6201">
      <w:pPr>
        <w:pStyle w:val="Listeavsnitt"/>
        <w:numPr>
          <w:ilvl w:val="0"/>
          <w:numId w:val="7"/>
        </w:numPr>
        <w:spacing w:before="240" w:after="240" w:line="240" w:lineRule="auto"/>
        <w:jc w:val="both"/>
        <w:outlineLvl w:val="1"/>
        <w:rPr>
          <w:b/>
          <w:vanish/>
        </w:rPr>
      </w:pPr>
    </w:p>
    <w:p w14:paraId="02067E00" w14:textId="20B29ADF" w:rsidR="007703EC" w:rsidRPr="003739BD" w:rsidRDefault="007703EC" w:rsidP="005D6201">
      <w:pPr>
        <w:pStyle w:val="Overskrift2"/>
      </w:pPr>
      <w:r w:rsidRPr="003739BD">
        <w:t>The theory of diffusion of innovations</w:t>
      </w:r>
    </w:p>
    <w:p w14:paraId="1071EA73" w14:textId="42948BB6" w:rsidR="004C2D58" w:rsidRPr="00035C49" w:rsidRDefault="004C2D58" w:rsidP="00002E34">
      <w:pPr>
        <w:shd w:val="clear" w:color="auto" w:fill="FFFFFF" w:themeFill="background1"/>
      </w:pPr>
      <w:r w:rsidRPr="00035C49">
        <w:t xml:space="preserve">Rogers’ </w:t>
      </w:r>
      <w:r w:rsidR="00002E34">
        <w:t xml:space="preserve">(1962, 1995) </w:t>
      </w:r>
      <w:r w:rsidRPr="00035C49">
        <w:t>theory states that the rate of diffusion of innovations is influenced by:</w:t>
      </w:r>
    </w:p>
    <w:p w14:paraId="7D3C03AF" w14:textId="1093F1BA" w:rsidR="004C2D58" w:rsidRPr="00035C49" w:rsidRDefault="00002E34" w:rsidP="001C7B34">
      <w:pPr>
        <w:pStyle w:val="Listeavsnitt"/>
        <w:numPr>
          <w:ilvl w:val="0"/>
          <w:numId w:val="15"/>
        </w:numPr>
        <w:spacing w:after="0" w:line="240" w:lineRule="auto"/>
        <w:ind w:hanging="357"/>
        <w:rPr>
          <w:sz w:val="20"/>
          <w:szCs w:val="20"/>
        </w:rPr>
      </w:pPr>
      <w:r>
        <w:rPr>
          <w:sz w:val="20"/>
          <w:szCs w:val="20"/>
        </w:rPr>
        <w:t>T</w:t>
      </w:r>
      <w:r w:rsidR="004C2D58" w:rsidRPr="00035C49">
        <w:rPr>
          <w:sz w:val="20"/>
          <w:szCs w:val="20"/>
        </w:rPr>
        <w:t>he innovation’s perceived attributes</w:t>
      </w:r>
      <w:r>
        <w:rPr>
          <w:sz w:val="20"/>
          <w:szCs w:val="20"/>
        </w:rPr>
        <w:t>, being the most influential factor:</w:t>
      </w:r>
      <w:r w:rsidR="004C2D58" w:rsidRPr="00035C49">
        <w:rPr>
          <w:sz w:val="20"/>
          <w:szCs w:val="20"/>
        </w:rPr>
        <w:t xml:space="preserve"> </w:t>
      </w:r>
    </w:p>
    <w:p w14:paraId="02663C7A" w14:textId="77777777" w:rsidR="004C2D58" w:rsidRPr="00035C49" w:rsidRDefault="004C2D58" w:rsidP="001C7B34">
      <w:pPr>
        <w:pStyle w:val="Listeavsnitt"/>
        <w:numPr>
          <w:ilvl w:val="1"/>
          <w:numId w:val="15"/>
        </w:numPr>
        <w:spacing w:after="0" w:line="240" w:lineRule="auto"/>
        <w:ind w:hanging="357"/>
        <w:contextualSpacing/>
        <w:rPr>
          <w:sz w:val="20"/>
          <w:szCs w:val="20"/>
        </w:rPr>
      </w:pPr>
      <w:r w:rsidRPr="00035C49">
        <w:rPr>
          <w:sz w:val="20"/>
          <w:szCs w:val="20"/>
        </w:rPr>
        <w:t>relative advantage versus the old technology</w:t>
      </w:r>
    </w:p>
    <w:p w14:paraId="272AB704" w14:textId="77777777" w:rsidR="004C2D58" w:rsidRPr="00035C49" w:rsidRDefault="004C2D58" w:rsidP="001C7B34">
      <w:pPr>
        <w:pStyle w:val="Listeavsnitt"/>
        <w:numPr>
          <w:ilvl w:val="1"/>
          <w:numId w:val="15"/>
        </w:numPr>
        <w:spacing w:after="0" w:line="240" w:lineRule="auto"/>
        <w:ind w:hanging="357"/>
        <w:contextualSpacing/>
        <w:rPr>
          <w:sz w:val="20"/>
          <w:szCs w:val="20"/>
        </w:rPr>
      </w:pPr>
      <w:r w:rsidRPr="00035C49">
        <w:rPr>
          <w:sz w:val="20"/>
          <w:szCs w:val="20"/>
        </w:rPr>
        <w:t>compatibility with user needs, values and norms</w:t>
      </w:r>
    </w:p>
    <w:p w14:paraId="2CBBCBC1" w14:textId="77777777" w:rsidR="004C2D58" w:rsidRPr="00035C49" w:rsidRDefault="004C2D58" w:rsidP="001C7B34">
      <w:pPr>
        <w:pStyle w:val="Listeavsnitt"/>
        <w:numPr>
          <w:ilvl w:val="1"/>
          <w:numId w:val="15"/>
        </w:numPr>
        <w:spacing w:after="0" w:line="240" w:lineRule="auto"/>
        <w:ind w:hanging="357"/>
        <w:contextualSpacing/>
        <w:rPr>
          <w:sz w:val="20"/>
          <w:szCs w:val="20"/>
        </w:rPr>
      </w:pPr>
      <w:r w:rsidRPr="00035C49">
        <w:rPr>
          <w:sz w:val="20"/>
          <w:szCs w:val="20"/>
        </w:rPr>
        <w:t>complexity, i.e. how easy it is to understand and put into use</w:t>
      </w:r>
    </w:p>
    <w:p w14:paraId="3B84778A" w14:textId="77777777" w:rsidR="004C2D58" w:rsidRPr="00035C49" w:rsidRDefault="004C2D58" w:rsidP="001C7B34">
      <w:pPr>
        <w:pStyle w:val="Listeavsnitt"/>
        <w:numPr>
          <w:ilvl w:val="1"/>
          <w:numId w:val="15"/>
        </w:numPr>
        <w:spacing w:after="0" w:line="240" w:lineRule="auto"/>
        <w:ind w:hanging="357"/>
        <w:contextualSpacing/>
        <w:rPr>
          <w:sz w:val="20"/>
          <w:szCs w:val="20"/>
        </w:rPr>
      </w:pPr>
      <w:r w:rsidRPr="00035C49">
        <w:rPr>
          <w:sz w:val="20"/>
          <w:szCs w:val="20"/>
        </w:rPr>
        <w:t>trialability, i.e. the potential to test the technology out on a small scale</w:t>
      </w:r>
    </w:p>
    <w:p w14:paraId="63EACD76" w14:textId="77777777" w:rsidR="004C2D58" w:rsidRPr="00035C49" w:rsidRDefault="004C2D58" w:rsidP="001C7B34">
      <w:pPr>
        <w:pStyle w:val="Listeavsnitt"/>
        <w:numPr>
          <w:ilvl w:val="1"/>
          <w:numId w:val="15"/>
        </w:numPr>
        <w:spacing w:after="0" w:line="240" w:lineRule="auto"/>
        <w:ind w:hanging="357"/>
        <w:contextualSpacing/>
        <w:rPr>
          <w:sz w:val="20"/>
          <w:szCs w:val="20"/>
        </w:rPr>
      </w:pPr>
      <w:r w:rsidRPr="00035C49">
        <w:rPr>
          <w:sz w:val="20"/>
          <w:szCs w:val="20"/>
        </w:rPr>
        <w:t>observability/visibility to new potential users.</w:t>
      </w:r>
    </w:p>
    <w:p w14:paraId="41D90A06" w14:textId="77777777" w:rsidR="004C2D58" w:rsidRPr="00035C49" w:rsidRDefault="004C2D58" w:rsidP="001C7B34">
      <w:pPr>
        <w:pStyle w:val="Listeavsnitt"/>
        <w:numPr>
          <w:ilvl w:val="0"/>
          <w:numId w:val="15"/>
        </w:numPr>
        <w:spacing w:after="0" w:line="240" w:lineRule="auto"/>
        <w:ind w:hanging="357"/>
        <w:rPr>
          <w:sz w:val="20"/>
          <w:szCs w:val="20"/>
        </w:rPr>
      </w:pPr>
      <w:r w:rsidRPr="00035C49">
        <w:rPr>
          <w:sz w:val="20"/>
          <w:szCs w:val="20"/>
        </w:rPr>
        <w:t>The type of innovation decision, for instance if the value to the user is depending on other users</w:t>
      </w:r>
      <w:r w:rsidR="00F44F22" w:rsidRPr="00035C49">
        <w:rPr>
          <w:sz w:val="20"/>
          <w:szCs w:val="20"/>
        </w:rPr>
        <w:t xml:space="preserve"> taking the innovation into use</w:t>
      </w:r>
      <w:r w:rsidRPr="00035C49">
        <w:rPr>
          <w:sz w:val="20"/>
          <w:szCs w:val="20"/>
        </w:rPr>
        <w:t xml:space="preserve">. </w:t>
      </w:r>
    </w:p>
    <w:p w14:paraId="3E626012" w14:textId="77777777" w:rsidR="004C2D58" w:rsidRPr="00035C49" w:rsidRDefault="004C2D58" w:rsidP="001C7B34">
      <w:pPr>
        <w:pStyle w:val="Listeavsnitt"/>
        <w:numPr>
          <w:ilvl w:val="0"/>
          <w:numId w:val="15"/>
        </w:numPr>
        <w:spacing w:after="0" w:line="240" w:lineRule="auto"/>
        <w:ind w:hanging="357"/>
        <w:rPr>
          <w:sz w:val="20"/>
          <w:szCs w:val="20"/>
        </w:rPr>
      </w:pPr>
      <w:r w:rsidRPr="00035C49">
        <w:rPr>
          <w:sz w:val="20"/>
          <w:szCs w:val="20"/>
        </w:rPr>
        <w:t xml:space="preserve">Communication channels, i.e. how and by whom </w:t>
      </w:r>
      <w:r w:rsidR="001C7B34" w:rsidRPr="00035C49">
        <w:rPr>
          <w:sz w:val="20"/>
          <w:szCs w:val="20"/>
        </w:rPr>
        <w:t xml:space="preserve">information is </w:t>
      </w:r>
      <w:r w:rsidRPr="00035C49">
        <w:rPr>
          <w:sz w:val="20"/>
          <w:szCs w:val="20"/>
        </w:rPr>
        <w:t xml:space="preserve">communicated. </w:t>
      </w:r>
    </w:p>
    <w:p w14:paraId="5F0C6ED9" w14:textId="77777777" w:rsidR="004C2D58" w:rsidRPr="00035C49" w:rsidRDefault="004C2D58" w:rsidP="001C7B34">
      <w:pPr>
        <w:pStyle w:val="Listeavsnitt"/>
        <w:numPr>
          <w:ilvl w:val="0"/>
          <w:numId w:val="15"/>
        </w:numPr>
        <w:spacing w:after="0" w:line="240" w:lineRule="auto"/>
        <w:ind w:hanging="357"/>
        <w:rPr>
          <w:sz w:val="20"/>
          <w:szCs w:val="20"/>
        </w:rPr>
      </w:pPr>
      <w:r w:rsidRPr="00035C49">
        <w:rPr>
          <w:sz w:val="20"/>
          <w:szCs w:val="20"/>
        </w:rPr>
        <w:t>Nature of the Social System</w:t>
      </w:r>
      <w:r w:rsidR="00D74945" w:rsidRPr="00035C49">
        <w:rPr>
          <w:sz w:val="20"/>
          <w:szCs w:val="20"/>
        </w:rPr>
        <w:t>, e.g. norms, degree of interactions etc.</w:t>
      </w:r>
    </w:p>
    <w:p w14:paraId="7B0572A4" w14:textId="77777777" w:rsidR="004C2D58" w:rsidRPr="00035C49" w:rsidRDefault="00D74945" w:rsidP="001C7B34">
      <w:pPr>
        <w:pStyle w:val="Listeavsnitt"/>
        <w:numPr>
          <w:ilvl w:val="0"/>
          <w:numId w:val="15"/>
        </w:numPr>
        <w:spacing w:after="0" w:line="240" w:lineRule="auto"/>
        <w:ind w:hanging="357"/>
        <w:rPr>
          <w:sz w:val="20"/>
          <w:szCs w:val="20"/>
        </w:rPr>
      </w:pPr>
      <w:r w:rsidRPr="00035C49">
        <w:rPr>
          <w:sz w:val="20"/>
          <w:szCs w:val="20"/>
        </w:rPr>
        <w:t>Extent of Change A</w:t>
      </w:r>
      <w:r w:rsidR="004C2D58" w:rsidRPr="00035C49">
        <w:rPr>
          <w:sz w:val="20"/>
          <w:szCs w:val="20"/>
        </w:rPr>
        <w:t>gent</w:t>
      </w:r>
      <w:r w:rsidRPr="00035C49">
        <w:rPr>
          <w:sz w:val="20"/>
          <w:szCs w:val="20"/>
        </w:rPr>
        <w:t>’</w:t>
      </w:r>
      <w:r w:rsidR="004C2D58" w:rsidRPr="00035C49">
        <w:rPr>
          <w:sz w:val="20"/>
          <w:szCs w:val="20"/>
        </w:rPr>
        <w:t>s promotion efforts.</w:t>
      </w:r>
    </w:p>
    <w:p w14:paraId="1B0BE86E" w14:textId="77777777" w:rsidR="001C7B34" w:rsidRPr="00035C49" w:rsidRDefault="001C7B34" w:rsidP="00BC61D8"/>
    <w:p w14:paraId="146CE35A" w14:textId="7BEF1468" w:rsidR="00E46B87" w:rsidRDefault="00E46B87" w:rsidP="00E46B87">
      <w:r w:rsidRPr="00035C49">
        <w:t>Incentives to speed up BEV adoption should address these factors, especially the innovations perceived attributes</w:t>
      </w:r>
      <w:r>
        <w:t xml:space="preserve">. </w:t>
      </w:r>
      <w:bookmarkStart w:id="1" w:name="_Toc408840263"/>
      <w:bookmarkStart w:id="2" w:name="_Toc409423969"/>
      <w:bookmarkEnd w:id="1"/>
      <w:bookmarkEnd w:id="2"/>
    </w:p>
    <w:p w14:paraId="1DEEC72E" w14:textId="77777777" w:rsidR="00E46B87" w:rsidRDefault="00E46B87" w:rsidP="00E46B87"/>
    <w:p w14:paraId="781CFA7F" w14:textId="04DDBD84" w:rsidR="00D10A3E" w:rsidRPr="00035C49" w:rsidRDefault="007703EC" w:rsidP="007703EC">
      <w:r w:rsidRPr="00035C49">
        <w:t xml:space="preserve">The communication processes underlying diffusion constitute a net between all the elements, and influenced by these, defines the role of the innovation in society. The processes </w:t>
      </w:r>
      <w:r w:rsidR="00B72A8A">
        <w:t>of</w:t>
      </w:r>
      <w:r w:rsidRPr="00035C49">
        <w:t xml:space="preserve"> decision makers on several levels include five phases: Knowledge, persuasion, decision, implementation and confirmation or rejection (</w:t>
      </w:r>
      <w:r w:rsidR="00FC3A8B">
        <w:t>Rogers 1995</w:t>
      </w:r>
      <w:r w:rsidRPr="00035C49">
        <w:t xml:space="preserve">). </w:t>
      </w:r>
      <w:r w:rsidR="002E69E4" w:rsidRPr="00035C49">
        <w:t>The knowledge of innovations diffuses through several media and social network</w:t>
      </w:r>
      <w:r w:rsidRPr="00035C49">
        <w:t xml:space="preserve"> communication channels</w:t>
      </w:r>
      <w:r w:rsidR="00B72A8A">
        <w:t>,</w:t>
      </w:r>
      <w:r w:rsidR="002E69E4" w:rsidRPr="00035C49">
        <w:t xml:space="preserve"> that may </w:t>
      </w:r>
      <w:r w:rsidRPr="00035C49">
        <w:t xml:space="preserve">also </w:t>
      </w:r>
      <w:r w:rsidR="002E69E4" w:rsidRPr="00035C49">
        <w:t xml:space="preserve">be influenced by change agents aiming to speed up diffusion. </w:t>
      </w:r>
      <w:r w:rsidR="00D10A3E" w:rsidRPr="00035C49">
        <w:t>I</w:t>
      </w:r>
      <w:r w:rsidR="002E69E4" w:rsidRPr="00035C49">
        <w:t xml:space="preserve">nnovators </w:t>
      </w:r>
      <w:r w:rsidR="00D10A3E" w:rsidRPr="00035C49">
        <w:t xml:space="preserve">take the innovation autonomously into use </w:t>
      </w:r>
      <w:r w:rsidR="00E57514" w:rsidRPr="00035C49">
        <w:t>which also increase</w:t>
      </w:r>
      <w:r w:rsidR="00D10A3E" w:rsidRPr="00035C49">
        <w:t xml:space="preserve"> the</w:t>
      </w:r>
      <w:r w:rsidR="002E69E4" w:rsidRPr="00035C49">
        <w:t xml:space="preserve"> visibi</w:t>
      </w:r>
      <w:r w:rsidR="00D10A3E" w:rsidRPr="00035C49">
        <w:t>lity of the innovation to “opinion leaders”</w:t>
      </w:r>
      <w:r w:rsidR="00E57514" w:rsidRPr="00035C49">
        <w:t xml:space="preserve">: These leaders </w:t>
      </w:r>
      <w:r w:rsidR="00D10A3E" w:rsidRPr="00035C49">
        <w:t xml:space="preserve">speed up innovation </w:t>
      </w:r>
      <w:r w:rsidR="00E57514" w:rsidRPr="00035C49">
        <w:t>through horizontal communication with</w:t>
      </w:r>
      <w:r w:rsidR="002E69E4" w:rsidRPr="00035C49">
        <w:t xml:space="preserve"> </w:t>
      </w:r>
      <w:r w:rsidR="00D10A3E" w:rsidRPr="00035C49">
        <w:t xml:space="preserve">their peers and to new </w:t>
      </w:r>
      <w:r w:rsidR="002E69E4" w:rsidRPr="00035C49">
        <w:t>layers of people in society</w:t>
      </w:r>
      <w:r w:rsidR="00D10A3E" w:rsidRPr="00035C49">
        <w:t xml:space="preserve"> through vertical communication</w:t>
      </w:r>
      <w:r w:rsidR="00E57514" w:rsidRPr="00035C49">
        <w:t xml:space="preserve">. Later adopters rely </w:t>
      </w:r>
      <w:r w:rsidR="00D10A3E" w:rsidRPr="00035C49">
        <w:t xml:space="preserve">on </w:t>
      </w:r>
      <w:r w:rsidR="002E69E4" w:rsidRPr="00035C49">
        <w:t xml:space="preserve">advice from </w:t>
      </w:r>
      <w:r w:rsidR="00E57514" w:rsidRPr="00035C49">
        <w:t>the</w:t>
      </w:r>
      <w:r w:rsidR="00B72A8A">
        <w:t>se</w:t>
      </w:r>
      <w:r w:rsidR="00E57514" w:rsidRPr="00035C49">
        <w:t xml:space="preserve"> </w:t>
      </w:r>
      <w:r w:rsidR="00D10A3E" w:rsidRPr="00035C49">
        <w:t xml:space="preserve">innovative and cosmopolite </w:t>
      </w:r>
      <w:r w:rsidR="002E69E4" w:rsidRPr="00035C49">
        <w:t xml:space="preserve">opinion leaders having a higher socioeconomic status. </w:t>
      </w:r>
    </w:p>
    <w:p w14:paraId="0AC2D339" w14:textId="77777777" w:rsidR="00D10A3E" w:rsidRPr="00035C49" w:rsidRDefault="00D10A3E" w:rsidP="007703EC"/>
    <w:p w14:paraId="6F2DF990" w14:textId="7CEFE1C3" w:rsidR="002E69E4" w:rsidRPr="00035C49" w:rsidRDefault="00D10A3E" w:rsidP="007703EC">
      <w:r w:rsidRPr="00035C49">
        <w:t>C</w:t>
      </w:r>
      <w:r w:rsidR="002E69E4" w:rsidRPr="00035C49">
        <w:t xml:space="preserve">ities are in general more innovative, having universities and </w:t>
      </w:r>
      <w:r w:rsidR="00002E34">
        <w:t xml:space="preserve">international </w:t>
      </w:r>
      <w:r w:rsidR="002E69E4" w:rsidRPr="00035C49">
        <w:t>contacts</w:t>
      </w:r>
      <w:r w:rsidR="00002E34">
        <w:t>.</w:t>
      </w:r>
      <w:r w:rsidR="002E69E4" w:rsidRPr="00035C49">
        <w:t xml:space="preserve"> More people are available </w:t>
      </w:r>
      <w:r w:rsidR="00002E34">
        <w:t xml:space="preserve">making </w:t>
      </w:r>
      <w:r w:rsidR="002E69E4" w:rsidRPr="00035C49">
        <w:t>the number of innovators taking new technology into use higher, and the interpersonal communication networks larger (Pan et al 2012). Other aspects are</w:t>
      </w:r>
      <w:r w:rsidR="00E46B87">
        <w:t>,</w:t>
      </w:r>
      <w:r w:rsidR="002E69E4" w:rsidRPr="00035C49">
        <w:t xml:space="preserve"> higher average incomes, increased visibility as more people see </w:t>
      </w:r>
      <w:r w:rsidR="007703EC" w:rsidRPr="00035C49">
        <w:t>the innovation</w:t>
      </w:r>
      <w:r w:rsidR="002E69E4" w:rsidRPr="00035C49">
        <w:t xml:space="preserve">, and trialability </w:t>
      </w:r>
      <w:r w:rsidR="00B72A8A">
        <w:t>since</w:t>
      </w:r>
      <w:r w:rsidR="002E69E4" w:rsidRPr="00035C49">
        <w:t xml:space="preserve"> each </w:t>
      </w:r>
      <w:r w:rsidR="00B72A8A">
        <w:t xml:space="preserve">BEV </w:t>
      </w:r>
      <w:r w:rsidR="002E69E4" w:rsidRPr="00035C49">
        <w:t xml:space="preserve">dealer </w:t>
      </w:r>
      <w:r w:rsidR="007703EC" w:rsidRPr="00035C49">
        <w:t xml:space="preserve">may </w:t>
      </w:r>
      <w:r w:rsidR="002E69E4" w:rsidRPr="00035C49">
        <w:t xml:space="preserve">serve more people. </w:t>
      </w:r>
    </w:p>
    <w:p w14:paraId="51CBEA92" w14:textId="77777777" w:rsidR="007703EC" w:rsidRPr="00035C49" w:rsidRDefault="007703EC" w:rsidP="007703EC"/>
    <w:p w14:paraId="68D3FB37" w14:textId="4795036E" w:rsidR="00592E8F" w:rsidRDefault="00BC61D8" w:rsidP="00592E8F">
      <w:r w:rsidRPr="00035C49">
        <w:t xml:space="preserve">Most </w:t>
      </w:r>
      <w:r w:rsidR="00B72A8A">
        <w:t>B</w:t>
      </w:r>
      <w:r w:rsidRPr="00035C49">
        <w:t xml:space="preserve">EVs produced after 2010 have </w:t>
      </w:r>
      <w:r w:rsidR="00B72A8A">
        <w:t xml:space="preserve">according to the users own estimate </w:t>
      </w:r>
      <w:r w:rsidRPr="00035C49">
        <w:t xml:space="preserve">a typical on-road range in Norway </w:t>
      </w:r>
      <w:r w:rsidR="002E69E4" w:rsidRPr="00035C49">
        <w:t xml:space="preserve">of 80-130 km </w:t>
      </w:r>
      <w:r w:rsidRPr="00035C49">
        <w:t>(Figenbaum</w:t>
      </w:r>
      <w:r w:rsidR="00E46B87">
        <w:t xml:space="preserve"> et al</w:t>
      </w:r>
      <w:r w:rsidRPr="00035C49">
        <w:t xml:space="preserve"> 2014</w:t>
      </w:r>
      <w:r w:rsidR="007703EC" w:rsidRPr="00035C49">
        <w:t xml:space="preserve">, Figenbaum </w:t>
      </w:r>
      <w:r w:rsidR="00214A97">
        <w:t>&amp;</w:t>
      </w:r>
      <w:r w:rsidR="007703EC" w:rsidRPr="00035C49">
        <w:t xml:space="preserve"> Kolbenstvedt 2016</w:t>
      </w:r>
      <w:r w:rsidRPr="00035C49">
        <w:t>)</w:t>
      </w:r>
      <w:r w:rsidR="00B72A8A">
        <w:t>,</w:t>
      </w:r>
      <w:r w:rsidR="00E57514" w:rsidRPr="00035C49">
        <w:t xml:space="preserve"> depending on the season and topography. </w:t>
      </w:r>
      <w:r w:rsidR="00B72A8A">
        <w:t xml:space="preserve">The exception being Tesla with range estimates of 300-400 km. </w:t>
      </w:r>
      <w:r w:rsidR="00E57514" w:rsidRPr="00035C49">
        <w:t>A</w:t>
      </w:r>
      <w:r w:rsidRPr="00035C49">
        <w:t xml:space="preserve"> full recharge</w:t>
      </w:r>
      <w:r w:rsidR="002E69E4" w:rsidRPr="00035C49">
        <w:t xml:space="preserve"> at home</w:t>
      </w:r>
      <w:r w:rsidRPr="00035C49">
        <w:t xml:space="preserve"> takes 7-10 hours</w:t>
      </w:r>
      <w:r w:rsidR="00B72A8A">
        <w:t>. Us</w:t>
      </w:r>
      <w:r w:rsidR="00E57514" w:rsidRPr="00035C49">
        <w:t xml:space="preserve">ers </w:t>
      </w:r>
      <w:r w:rsidR="00B72A8A">
        <w:t xml:space="preserve">therefore </w:t>
      </w:r>
      <w:r w:rsidR="00E57514" w:rsidRPr="00035C49">
        <w:t>need a dedicate</w:t>
      </w:r>
      <w:r w:rsidR="00B72A8A">
        <w:t xml:space="preserve">d parking spot with electricity for BEVs to be a convenient means of transportation. </w:t>
      </w:r>
      <w:r w:rsidRPr="00035C49">
        <w:t>ICEV</w:t>
      </w:r>
      <w:r w:rsidR="00B72A8A">
        <w:t xml:space="preserve">s are on the other hand possible to drive </w:t>
      </w:r>
      <w:r w:rsidRPr="00035C49">
        <w:t>600-800 km between fill-ups</w:t>
      </w:r>
      <w:r w:rsidR="00B72A8A">
        <w:t xml:space="preserve"> that take</w:t>
      </w:r>
      <w:r w:rsidRPr="00035C49">
        <w:t xml:space="preserve"> minutes</w:t>
      </w:r>
      <w:r w:rsidR="00E57514" w:rsidRPr="00035C49">
        <w:t xml:space="preserve"> at fuel stations</w:t>
      </w:r>
      <w:r w:rsidRPr="00035C49">
        <w:t xml:space="preserve">. Incentives giving </w:t>
      </w:r>
      <w:r w:rsidR="00E57514" w:rsidRPr="00035C49">
        <w:t>BEV</w:t>
      </w:r>
      <w:r w:rsidRPr="00035C49">
        <w:t xml:space="preserve"> owners other comparative assets, i.e. relative advantage</w:t>
      </w:r>
      <w:r w:rsidR="00E57514" w:rsidRPr="00035C49">
        <w:t>s</w:t>
      </w:r>
      <w:r w:rsidRPr="00035C49">
        <w:t xml:space="preserve">, </w:t>
      </w:r>
      <w:r w:rsidR="00592E8F" w:rsidRPr="00035C49">
        <w:t>has</w:t>
      </w:r>
      <w:r w:rsidRPr="00035C49">
        <w:t xml:space="preserve"> therefor</w:t>
      </w:r>
      <w:r w:rsidR="00592E8F" w:rsidRPr="00035C49">
        <w:t>e</w:t>
      </w:r>
      <w:r w:rsidRPr="00035C49">
        <w:t xml:space="preserve"> be</w:t>
      </w:r>
      <w:r w:rsidR="00592E8F" w:rsidRPr="00035C49">
        <w:t xml:space="preserve">en essential in </w:t>
      </w:r>
      <w:r w:rsidRPr="00035C49">
        <w:t>support</w:t>
      </w:r>
      <w:r w:rsidR="00592E8F" w:rsidRPr="00035C49">
        <w:t>ing</w:t>
      </w:r>
      <w:r w:rsidRPr="00035C49">
        <w:t xml:space="preserve"> diffusion</w:t>
      </w:r>
      <w:r w:rsidR="00B72A8A">
        <w:t xml:space="preserve"> by compensating for these inconveniences</w:t>
      </w:r>
      <w:r w:rsidRPr="00035C49">
        <w:t xml:space="preserve">. Other factors of importance are </w:t>
      </w:r>
      <w:r w:rsidR="00592E8F" w:rsidRPr="00035C49">
        <w:t xml:space="preserve">improvements in </w:t>
      </w:r>
      <w:r w:rsidRPr="00035C49">
        <w:rPr>
          <w:i/>
        </w:rPr>
        <w:t xml:space="preserve">safety, reliability and durability </w:t>
      </w:r>
      <w:r w:rsidRPr="00035C49">
        <w:t>(Figenbaum</w:t>
      </w:r>
      <w:r w:rsidR="00B72A8A">
        <w:t xml:space="preserve"> </w:t>
      </w:r>
      <w:r w:rsidR="00E46B87">
        <w:t>et al</w:t>
      </w:r>
      <w:r w:rsidRPr="00035C49">
        <w:t xml:space="preserve"> 2014). </w:t>
      </w:r>
      <w:r w:rsidR="00CB0A46" w:rsidRPr="00035C49">
        <w:t>Being a new technology, costs are high and availability of models limited.</w:t>
      </w:r>
      <w:r w:rsidR="002E69E4" w:rsidRPr="00035C49">
        <w:t xml:space="preserve"> </w:t>
      </w:r>
      <w:r w:rsidR="00592E8F" w:rsidRPr="00035C49">
        <w:t xml:space="preserve">BEVs </w:t>
      </w:r>
      <w:r w:rsidR="00214A97">
        <w:t xml:space="preserve">thus </w:t>
      </w:r>
      <w:r w:rsidR="00592E8F" w:rsidRPr="00035C49">
        <w:t>offer less extensive and less flexible mobility compared with a gasoline vehicle</w:t>
      </w:r>
      <w:r w:rsidR="00E57514" w:rsidRPr="00035C49">
        <w:t>. R</w:t>
      </w:r>
      <w:r w:rsidR="00592E8F" w:rsidRPr="00035C49">
        <w:t xml:space="preserve">educed local pollution, noise and home fill up of energy may </w:t>
      </w:r>
      <w:r w:rsidR="00E57514" w:rsidRPr="00035C49">
        <w:t xml:space="preserve">on the other hand </w:t>
      </w:r>
      <w:r w:rsidR="00592E8F" w:rsidRPr="00035C49">
        <w:t>be perceived as advantages.</w:t>
      </w:r>
    </w:p>
    <w:p w14:paraId="27595C8D" w14:textId="77777777" w:rsidR="00214A97" w:rsidRPr="00035C49" w:rsidRDefault="00214A97" w:rsidP="00592E8F"/>
    <w:p w14:paraId="2A405275" w14:textId="6089FECC" w:rsidR="00BC61D8" w:rsidRDefault="00592E8F" w:rsidP="00592E8F">
      <w:r w:rsidRPr="00035C49">
        <w:t xml:space="preserve">The social system consists of institutions with various interests, norms, habits, values and laws. Crucial societal framing factors for EVs are clear </w:t>
      </w:r>
      <w:r w:rsidRPr="00035C49">
        <w:rPr>
          <w:i/>
        </w:rPr>
        <w:t>political goals</w:t>
      </w:r>
      <w:r w:rsidRPr="00035C49">
        <w:t xml:space="preserve"> supporting the use of the </w:t>
      </w:r>
      <w:r w:rsidR="00214A97">
        <w:t>new</w:t>
      </w:r>
      <w:r w:rsidRPr="00035C49">
        <w:t xml:space="preserve"> technology, and the prevalence of a political and economic system supporting the goals with incentives. The latter is especially important for </w:t>
      </w:r>
      <w:r w:rsidRPr="00035C49">
        <w:rPr>
          <w:i/>
        </w:rPr>
        <w:t>preventive</w:t>
      </w:r>
      <w:r w:rsidRPr="00035C49">
        <w:t xml:space="preserve"> environmental innovations</w:t>
      </w:r>
      <w:r w:rsidR="002223F6" w:rsidRPr="00035C49">
        <w:t xml:space="preserve"> based on societal needs</w:t>
      </w:r>
      <w:r w:rsidR="00E57514" w:rsidRPr="00035C49">
        <w:t>,</w:t>
      </w:r>
      <w:r w:rsidR="002223F6" w:rsidRPr="00035C49">
        <w:t xml:space="preserve"> such as those aimed at </w:t>
      </w:r>
      <w:r w:rsidR="003739BD">
        <w:t>GHG</w:t>
      </w:r>
      <w:r w:rsidR="002223F6" w:rsidRPr="00035C49">
        <w:t xml:space="preserve"> emission reduction</w:t>
      </w:r>
      <w:r w:rsidR="00E57514" w:rsidRPr="00035C49">
        <w:t>,</w:t>
      </w:r>
      <w:r w:rsidR="002223F6" w:rsidRPr="00035C49">
        <w:t xml:space="preserve"> </w:t>
      </w:r>
      <w:r w:rsidRPr="00035C49">
        <w:t xml:space="preserve">as these will </w:t>
      </w:r>
      <w:r w:rsidR="002223F6" w:rsidRPr="00035C49">
        <w:t>have a slow</w:t>
      </w:r>
      <w:r w:rsidR="002E69E4" w:rsidRPr="00035C49">
        <w:t>er</w:t>
      </w:r>
      <w:r w:rsidR="002223F6" w:rsidRPr="00035C49">
        <w:t xml:space="preserve"> rate of adoption (Rogers 1995). Recent studies of dissemination of preventive innovations (Jacobse</w:t>
      </w:r>
      <w:r w:rsidR="0095792A">
        <w:t xml:space="preserve">n &amp; Bergek 2011, van den Bergh et al </w:t>
      </w:r>
      <w:r w:rsidR="002223F6" w:rsidRPr="00035C49">
        <w:t xml:space="preserve">2011, Moch &amp; Yang 2014) therefore stress the importance of societal support. </w:t>
      </w:r>
      <w:r w:rsidR="00BC61D8" w:rsidRPr="00035C49">
        <w:t xml:space="preserve">Other framing conditions are </w:t>
      </w:r>
      <w:r w:rsidR="00BC61D8" w:rsidRPr="00035C49">
        <w:rPr>
          <w:i/>
        </w:rPr>
        <w:t>geography</w:t>
      </w:r>
      <w:r w:rsidR="00BC61D8" w:rsidRPr="00035C49">
        <w:t xml:space="preserve">, climate, travel habits and the electricity mix. </w:t>
      </w:r>
    </w:p>
    <w:p w14:paraId="2900CA4D" w14:textId="77777777" w:rsidR="00D83599" w:rsidRPr="00035C49" w:rsidRDefault="00D83599" w:rsidP="00592E8F"/>
    <w:p w14:paraId="4BDFF687" w14:textId="58530826" w:rsidR="00B72A8A" w:rsidRDefault="001B2E4B" w:rsidP="00B72A8A">
      <w:pPr>
        <w:pStyle w:val="Overskrift2"/>
      </w:pPr>
      <w:r>
        <w:lastRenderedPageBreak/>
        <w:t>D</w:t>
      </w:r>
      <w:r w:rsidR="00B72A8A">
        <w:t xml:space="preserve">iffusion </w:t>
      </w:r>
      <w:r>
        <w:t>pattern</w:t>
      </w:r>
    </w:p>
    <w:p w14:paraId="21299728" w14:textId="1867A849" w:rsidR="00B608D9" w:rsidRDefault="00BC61D8" w:rsidP="00B72A8A">
      <w:r w:rsidRPr="00035C49">
        <w:t xml:space="preserve">Diffusion of </w:t>
      </w:r>
      <w:r w:rsidR="00E46B87">
        <w:t xml:space="preserve">successful </w:t>
      </w:r>
      <w:r w:rsidRPr="00035C49">
        <w:t xml:space="preserve">innovations normally follows an s-shaped curve with five adopter groups successively adopting the innovation, </w:t>
      </w:r>
      <w:r w:rsidR="00B608D9">
        <w:t xml:space="preserve">and thus representing different steps in the process, </w:t>
      </w:r>
      <w:r w:rsidRPr="00035C49">
        <w:t xml:space="preserve">c.f. </w:t>
      </w:r>
      <w:r w:rsidR="00B608D9">
        <w:t>table 2.</w:t>
      </w:r>
      <w:r w:rsidRPr="00035C49">
        <w:t xml:space="preserve"> After 10-20% adoption is reached, further adoption is self-sustaining, i.e. </w:t>
      </w:r>
      <w:r w:rsidR="003739BD">
        <w:t xml:space="preserve">a </w:t>
      </w:r>
      <w:r w:rsidRPr="00035C49">
        <w:t>critical mass is reached</w:t>
      </w:r>
      <w:r w:rsidR="00592E8F" w:rsidRPr="00035C49">
        <w:t xml:space="preserve"> (Rogers 1995)</w:t>
      </w:r>
      <w:r w:rsidRPr="00035C49">
        <w:t xml:space="preserve">. Incentives and other framing conditions </w:t>
      </w:r>
      <w:r w:rsidR="00B72A8A">
        <w:t>will</w:t>
      </w:r>
      <w:r w:rsidRPr="00035C49">
        <w:t xml:space="preserve"> cause some to adopt</w:t>
      </w:r>
      <w:r w:rsidR="00B72A8A">
        <w:t>ion to an earlier point in time but could also</w:t>
      </w:r>
      <w:r w:rsidR="00E57514" w:rsidRPr="00035C49">
        <w:t xml:space="preserve"> </w:t>
      </w:r>
      <w:r w:rsidRPr="00035C49">
        <w:t>result in setbacks</w:t>
      </w:r>
      <w:r w:rsidR="00E57514" w:rsidRPr="00035C49">
        <w:t>,</w:t>
      </w:r>
      <w:r w:rsidRPr="00035C49">
        <w:t xml:space="preserve"> </w:t>
      </w:r>
      <w:r w:rsidR="00B72A8A">
        <w:t>for instance if</w:t>
      </w:r>
      <w:r w:rsidRPr="00035C49">
        <w:t xml:space="preserve"> the experience with EVs </w:t>
      </w:r>
      <w:r w:rsidR="00B72A8A">
        <w:t>is</w:t>
      </w:r>
      <w:r w:rsidRPr="00035C49">
        <w:t xml:space="preserve"> negative if range is </w:t>
      </w:r>
      <w:r w:rsidR="00E57514" w:rsidRPr="00035C49">
        <w:t>too short</w:t>
      </w:r>
      <w:r w:rsidRPr="00035C49">
        <w:t xml:space="preserve"> for user needs</w:t>
      </w:r>
      <w:r w:rsidR="00B72A8A">
        <w:t xml:space="preserve"> or the vehicles are unreliable</w:t>
      </w:r>
      <w:r w:rsidRPr="00035C49">
        <w:t>.</w:t>
      </w:r>
      <w:r w:rsidR="00B72A8A">
        <w:t xml:space="preserve"> Some early fleet users experienced such issues (Assum et al 2014). </w:t>
      </w:r>
    </w:p>
    <w:p w14:paraId="118B541B" w14:textId="77777777" w:rsidR="00B72A8A" w:rsidRDefault="00B72A8A" w:rsidP="00B72A8A"/>
    <w:p w14:paraId="0177310C" w14:textId="69BA8663" w:rsidR="00B72A8A" w:rsidRPr="00035C49" w:rsidRDefault="00B72A8A" w:rsidP="00B72A8A">
      <w:r w:rsidRPr="00035C49">
        <w:t xml:space="preserve">The hypotheses are that diffusion of </w:t>
      </w:r>
      <w:r w:rsidR="00D83599">
        <w:t>B</w:t>
      </w:r>
      <w:r w:rsidRPr="00035C49">
        <w:t>EVs will be more successful when:</w:t>
      </w:r>
    </w:p>
    <w:p w14:paraId="54A14FC2" w14:textId="5BA00BFB" w:rsidR="00B72A8A" w:rsidRPr="00035C49" w:rsidRDefault="00D83599" w:rsidP="00B72A8A">
      <w:pPr>
        <w:pStyle w:val="Listeavsnitt"/>
        <w:numPr>
          <w:ilvl w:val="0"/>
          <w:numId w:val="17"/>
        </w:numPr>
        <w:spacing w:line="240" w:lineRule="auto"/>
        <w:contextualSpacing/>
        <w:rPr>
          <w:sz w:val="20"/>
        </w:rPr>
      </w:pPr>
      <w:r>
        <w:rPr>
          <w:i/>
          <w:sz w:val="20"/>
        </w:rPr>
        <w:t>Available models</w:t>
      </w:r>
      <w:r w:rsidR="00B72A8A" w:rsidRPr="00035C49">
        <w:rPr>
          <w:i/>
          <w:sz w:val="20"/>
        </w:rPr>
        <w:t xml:space="preserve"> </w:t>
      </w:r>
      <w:r>
        <w:rPr>
          <w:i/>
          <w:sz w:val="20"/>
        </w:rPr>
        <w:t xml:space="preserve">can </w:t>
      </w:r>
      <w:r w:rsidR="00B72A8A" w:rsidRPr="00035C49">
        <w:rPr>
          <w:sz w:val="20"/>
        </w:rPr>
        <w:t xml:space="preserve">meet </w:t>
      </w:r>
      <w:r w:rsidR="00B72A8A" w:rsidRPr="00035C49">
        <w:rPr>
          <w:i/>
          <w:sz w:val="20"/>
        </w:rPr>
        <w:t>user (consumer, society) needs</w:t>
      </w:r>
      <w:r>
        <w:rPr>
          <w:sz w:val="20"/>
        </w:rPr>
        <w:t xml:space="preserve"> and give relative advantages</w:t>
      </w:r>
      <w:r w:rsidR="00B72A8A" w:rsidRPr="00035C49">
        <w:rPr>
          <w:sz w:val="20"/>
        </w:rPr>
        <w:t xml:space="preserve"> </w:t>
      </w:r>
    </w:p>
    <w:p w14:paraId="4B7D9A5F" w14:textId="77777777" w:rsidR="00B72A8A" w:rsidRPr="00035C49" w:rsidRDefault="00B72A8A" w:rsidP="00B72A8A">
      <w:pPr>
        <w:pStyle w:val="Listeavsnitt"/>
        <w:numPr>
          <w:ilvl w:val="0"/>
          <w:numId w:val="17"/>
        </w:numPr>
        <w:spacing w:line="240" w:lineRule="auto"/>
        <w:contextualSpacing/>
        <w:rPr>
          <w:sz w:val="20"/>
        </w:rPr>
      </w:pPr>
      <w:r w:rsidRPr="00035C49">
        <w:rPr>
          <w:i/>
          <w:sz w:val="20"/>
        </w:rPr>
        <w:t>Society can speed up</w:t>
      </w:r>
      <w:r w:rsidRPr="00035C49">
        <w:rPr>
          <w:sz w:val="20"/>
        </w:rPr>
        <w:t xml:space="preserve"> diffusion with</w:t>
      </w:r>
      <w:r w:rsidRPr="00035C49">
        <w:rPr>
          <w:i/>
          <w:sz w:val="20"/>
        </w:rPr>
        <w:t xml:space="preserve"> incentives</w:t>
      </w:r>
      <w:r w:rsidRPr="00035C49">
        <w:rPr>
          <w:sz w:val="20"/>
        </w:rPr>
        <w:t xml:space="preserve"> or giving compensatory assets </w:t>
      </w:r>
    </w:p>
    <w:p w14:paraId="2C980C19" w14:textId="77777777" w:rsidR="00B72A8A" w:rsidRPr="00035C49" w:rsidRDefault="00B72A8A" w:rsidP="00B72A8A">
      <w:pPr>
        <w:pStyle w:val="Listeavsnitt"/>
        <w:numPr>
          <w:ilvl w:val="0"/>
          <w:numId w:val="17"/>
        </w:numPr>
        <w:spacing w:line="240" w:lineRule="auto"/>
        <w:contextualSpacing/>
        <w:rPr>
          <w:sz w:val="20"/>
        </w:rPr>
      </w:pPr>
      <w:r w:rsidRPr="00035C49">
        <w:rPr>
          <w:i/>
          <w:sz w:val="20"/>
        </w:rPr>
        <w:t xml:space="preserve">Communication channels </w:t>
      </w:r>
      <w:r w:rsidRPr="00035C49">
        <w:rPr>
          <w:sz w:val="20"/>
        </w:rPr>
        <w:t>are in function, and supported by</w:t>
      </w:r>
      <w:r w:rsidRPr="00035C49">
        <w:rPr>
          <w:i/>
          <w:sz w:val="20"/>
        </w:rPr>
        <w:t xml:space="preserve"> change agents.</w:t>
      </w:r>
    </w:p>
    <w:p w14:paraId="539893C0" w14:textId="77777777" w:rsidR="00B608D9" w:rsidRPr="00A0246B" w:rsidRDefault="00B608D9" w:rsidP="00E46B87">
      <w:pPr>
        <w:rPr>
          <w:sz w:val="18"/>
          <w:szCs w:val="16"/>
        </w:rPr>
      </w:pPr>
      <w:r w:rsidRPr="00E46B87">
        <w:rPr>
          <w:i/>
          <w:sz w:val="18"/>
          <w:szCs w:val="16"/>
        </w:rPr>
        <w:t>Table 2 Overview of diffusion steps and the groups share of the market development. Groups adapted from Rogers (1995)</w:t>
      </w:r>
    </w:p>
    <w:tbl>
      <w:tblPr>
        <w:tblStyle w:val="Tabellrutenett"/>
        <w:tblW w:w="0" w:type="auto"/>
        <w:tblLook w:val="04A0" w:firstRow="1" w:lastRow="0" w:firstColumn="1" w:lastColumn="0" w:noHBand="0" w:noVBand="1"/>
      </w:tblPr>
      <w:tblGrid>
        <w:gridCol w:w="1413"/>
        <w:gridCol w:w="6889"/>
      </w:tblGrid>
      <w:tr w:rsidR="00B608D9" w:rsidRPr="00035C49" w14:paraId="16737D70" w14:textId="77777777" w:rsidTr="00E46B87">
        <w:tc>
          <w:tcPr>
            <w:tcW w:w="1413" w:type="dxa"/>
          </w:tcPr>
          <w:p w14:paraId="1F690BC3" w14:textId="5329C1E2" w:rsidR="00B608D9" w:rsidRPr="00035C49" w:rsidRDefault="00B608D9" w:rsidP="003635DB">
            <w:pPr>
              <w:rPr>
                <w:i/>
                <w:sz w:val="16"/>
                <w:lang w:val="en-GB"/>
              </w:rPr>
            </w:pPr>
            <w:r w:rsidRPr="00035C49">
              <w:rPr>
                <w:i/>
                <w:sz w:val="16"/>
                <w:lang w:val="en-GB"/>
              </w:rPr>
              <w:t xml:space="preserve">First step </w:t>
            </w:r>
            <w:r>
              <w:rPr>
                <w:i/>
                <w:sz w:val="16"/>
                <w:lang w:val="en-GB"/>
              </w:rPr>
              <w:t>–</w:t>
            </w:r>
            <w:r w:rsidRPr="00035C49">
              <w:rPr>
                <w:i/>
                <w:sz w:val="16"/>
                <w:lang w:val="en-GB"/>
              </w:rPr>
              <w:t xml:space="preserve"> Innovators</w:t>
            </w:r>
            <w:r>
              <w:rPr>
                <w:i/>
                <w:sz w:val="16"/>
                <w:lang w:val="en-GB"/>
              </w:rPr>
              <w:br/>
            </w:r>
            <w:r w:rsidR="00E46B87">
              <w:rPr>
                <w:i/>
                <w:sz w:val="16"/>
                <w:lang w:val="en-GB"/>
              </w:rPr>
              <w:t xml:space="preserve">Initial </w:t>
            </w:r>
            <w:r>
              <w:rPr>
                <w:i/>
                <w:sz w:val="16"/>
                <w:lang w:val="en-GB"/>
              </w:rPr>
              <w:t>2% of market</w:t>
            </w:r>
          </w:p>
          <w:p w14:paraId="1BF4F79B" w14:textId="77777777" w:rsidR="00B608D9" w:rsidRPr="00035C49" w:rsidRDefault="00B608D9" w:rsidP="003635DB">
            <w:pPr>
              <w:rPr>
                <w:sz w:val="16"/>
                <w:lang w:val="en-GB"/>
              </w:rPr>
            </w:pPr>
          </w:p>
        </w:tc>
        <w:tc>
          <w:tcPr>
            <w:tcW w:w="6889" w:type="dxa"/>
          </w:tcPr>
          <w:p w14:paraId="6666F28A" w14:textId="1995EA8B" w:rsidR="00B608D9" w:rsidRPr="00035C49" w:rsidRDefault="00B608D9" w:rsidP="00B608D9">
            <w:pPr>
              <w:rPr>
                <w:sz w:val="16"/>
                <w:lang w:val="en-GB"/>
              </w:rPr>
            </w:pPr>
            <w:r w:rsidRPr="00035C49">
              <w:rPr>
                <w:sz w:val="16"/>
                <w:lang w:val="en-GB"/>
              </w:rPr>
              <w:t xml:space="preserve">The diffusion is slow at first. The first adopters are geographically dispersed cosmopolite innovators (2% of market) making a decision to adopt individually, with little influence from social networks. More adoption is expected in cities. They get their information from media, and international travels. They are rich enough that early adoption does not cause high risk. Few vehicle models, brands and segments are available and only locally. </w:t>
            </w:r>
          </w:p>
        </w:tc>
      </w:tr>
      <w:tr w:rsidR="00B608D9" w:rsidRPr="00035C49" w14:paraId="634E3114" w14:textId="77777777" w:rsidTr="00E46B87">
        <w:tc>
          <w:tcPr>
            <w:tcW w:w="1413" w:type="dxa"/>
          </w:tcPr>
          <w:p w14:paraId="679FFB57" w14:textId="1D675300" w:rsidR="00B608D9" w:rsidRPr="00035C49" w:rsidRDefault="00B608D9" w:rsidP="003635DB">
            <w:pPr>
              <w:rPr>
                <w:i/>
                <w:sz w:val="16"/>
                <w:lang w:val="en-GB"/>
              </w:rPr>
            </w:pPr>
            <w:r w:rsidRPr="00035C49">
              <w:rPr>
                <w:i/>
                <w:sz w:val="16"/>
                <w:lang w:val="en-GB"/>
              </w:rPr>
              <w:t>Second step – Early adopters</w:t>
            </w:r>
            <w:r>
              <w:rPr>
                <w:i/>
                <w:sz w:val="16"/>
                <w:lang w:val="en-GB"/>
              </w:rPr>
              <w:br/>
            </w:r>
            <w:r w:rsidR="00E46B87">
              <w:rPr>
                <w:i/>
                <w:sz w:val="16"/>
                <w:lang w:val="en-GB"/>
              </w:rPr>
              <w:t xml:space="preserve">Next </w:t>
            </w:r>
            <w:r>
              <w:rPr>
                <w:i/>
                <w:sz w:val="16"/>
                <w:lang w:val="en-GB"/>
              </w:rPr>
              <w:t>14% of market</w:t>
            </w:r>
          </w:p>
          <w:p w14:paraId="7F7A27A5" w14:textId="77777777" w:rsidR="00B608D9" w:rsidRPr="00035C49" w:rsidRDefault="00B608D9" w:rsidP="003635DB">
            <w:pPr>
              <w:rPr>
                <w:i/>
                <w:sz w:val="16"/>
                <w:lang w:val="en-GB"/>
              </w:rPr>
            </w:pPr>
          </w:p>
        </w:tc>
        <w:tc>
          <w:tcPr>
            <w:tcW w:w="6889" w:type="dxa"/>
          </w:tcPr>
          <w:p w14:paraId="71304183" w14:textId="27538A33" w:rsidR="00B608D9" w:rsidRPr="00035C49" w:rsidRDefault="00B608D9" w:rsidP="00B608D9">
            <w:pPr>
              <w:rPr>
                <w:sz w:val="16"/>
                <w:lang w:val="en-GB"/>
              </w:rPr>
            </w:pPr>
            <w:r w:rsidRPr="00035C49">
              <w:rPr>
                <w:sz w:val="16"/>
                <w:lang w:val="en-GB"/>
              </w:rPr>
              <w:t>Diffusion picks up when early well connected, richer than average adopters, intermediates between innovators and later adopters, starts buying. Opinion leaders in contact or proximity with innovators, typically living in cities or suburbs and having large social networks, speeds up adoption further. The number of models and brands increase and the technology will be available in more segments nationwide. Diffusion spread out radially from initial areas and to new areas via communication networks such as friends or social media.</w:t>
            </w:r>
          </w:p>
        </w:tc>
      </w:tr>
      <w:tr w:rsidR="00B608D9" w:rsidRPr="00035C49" w14:paraId="591DBDCE" w14:textId="77777777" w:rsidTr="00E46B87">
        <w:tc>
          <w:tcPr>
            <w:tcW w:w="1413" w:type="dxa"/>
          </w:tcPr>
          <w:p w14:paraId="49BDBB16" w14:textId="77777777" w:rsidR="00B608D9" w:rsidRDefault="00B608D9" w:rsidP="003635DB">
            <w:pPr>
              <w:rPr>
                <w:i/>
                <w:sz w:val="16"/>
                <w:lang w:val="en-GB"/>
              </w:rPr>
            </w:pPr>
            <w:r w:rsidRPr="00035C49">
              <w:rPr>
                <w:i/>
                <w:sz w:val="16"/>
                <w:lang w:val="en-GB"/>
              </w:rPr>
              <w:t>Third step – Early majority</w:t>
            </w:r>
          </w:p>
          <w:p w14:paraId="5186B875" w14:textId="533B1604" w:rsidR="00B608D9" w:rsidRPr="00035C49" w:rsidRDefault="00B608D9" w:rsidP="00B20356">
            <w:pPr>
              <w:rPr>
                <w:i/>
                <w:sz w:val="16"/>
                <w:lang w:val="en-GB"/>
              </w:rPr>
            </w:pPr>
            <w:r>
              <w:rPr>
                <w:i/>
                <w:sz w:val="16"/>
                <w:lang w:val="en-GB"/>
              </w:rPr>
              <w:t>34% of market</w:t>
            </w:r>
          </w:p>
        </w:tc>
        <w:tc>
          <w:tcPr>
            <w:tcW w:w="6889" w:type="dxa"/>
          </w:tcPr>
          <w:p w14:paraId="3AC9570F" w14:textId="7BE2F40C" w:rsidR="00B608D9" w:rsidRPr="00035C49" w:rsidRDefault="00B608D9" w:rsidP="00B608D9">
            <w:pPr>
              <w:rPr>
                <w:sz w:val="16"/>
                <w:lang w:val="en-GB"/>
              </w:rPr>
            </w:pPr>
            <w:r w:rsidRPr="00035C49">
              <w:rPr>
                <w:sz w:val="16"/>
                <w:lang w:val="en-GB"/>
              </w:rPr>
              <w:t xml:space="preserve">The early majority starts adopting and diffusion goes main stream. Vehicles are available nationwide in the main volume segments from market leaders. Diffusion spread to all regions, and growth is large in all areas in larger overlapping circles. </w:t>
            </w:r>
          </w:p>
        </w:tc>
      </w:tr>
      <w:tr w:rsidR="00B608D9" w:rsidRPr="00035C49" w14:paraId="6D4966C7" w14:textId="77777777" w:rsidTr="00E46B87">
        <w:tc>
          <w:tcPr>
            <w:tcW w:w="1413" w:type="dxa"/>
          </w:tcPr>
          <w:p w14:paraId="65075C21" w14:textId="21982351" w:rsidR="00B608D9" w:rsidRPr="00035C49" w:rsidRDefault="00B608D9" w:rsidP="003635DB">
            <w:pPr>
              <w:rPr>
                <w:i/>
                <w:sz w:val="16"/>
                <w:lang w:val="en-GB"/>
              </w:rPr>
            </w:pPr>
            <w:r w:rsidRPr="00035C49">
              <w:rPr>
                <w:i/>
                <w:sz w:val="16"/>
                <w:lang w:val="en-GB"/>
              </w:rPr>
              <w:t>The fourth step – Late majority</w:t>
            </w:r>
            <w:r>
              <w:rPr>
                <w:i/>
                <w:sz w:val="16"/>
                <w:lang w:val="en-GB"/>
              </w:rPr>
              <w:br/>
              <w:t>34% of market</w:t>
            </w:r>
          </w:p>
          <w:p w14:paraId="66664516" w14:textId="77777777" w:rsidR="00B608D9" w:rsidRPr="00035C49" w:rsidRDefault="00B608D9" w:rsidP="003635DB">
            <w:pPr>
              <w:rPr>
                <w:i/>
                <w:sz w:val="16"/>
                <w:lang w:val="en-GB"/>
              </w:rPr>
            </w:pPr>
          </w:p>
        </w:tc>
        <w:tc>
          <w:tcPr>
            <w:tcW w:w="6889" w:type="dxa"/>
          </w:tcPr>
          <w:p w14:paraId="3D291CFA" w14:textId="4CB96612" w:rsidR="00B608D9" w:rsidRPr="00035C49" w:rsidRDefault="00B608D9" w:rsidP="00B608D9">
            <w:pPr>
              <w:rPr>
                <w:sz w:val="16"/>
                <w:lang w:val="en-GB"/>
              </w:rPr>
            </w:pPr>
            <w:r w:rsidRPr="00035C49">
              <w:rPr>
                <w:sz w:val="16"/>
                <w:lang w:val="en-GB"/>
              </w:rPr>
              <w:t xml:space="preserve">The late majority starts adopting. BEVs are now seen as a regular option alongside gasoline and diesel vehicles. All brands sell BEVs in different segments catering for brand and segment preferences. The diffusion circles around cities have become so large that overlaps create adoption regions. Diffusion is high in all parts of a country. </w:t>
            </w:r>
          </w:p>
        </w:tc>
      </w:tr>
      <w:tr w:rsidR="00B608D9" w:rsidRPr="00035C49" w14:paraId="17C888EE" w14:textId="77777777" w:rsidTr="00E46B87">
        <w:tc>
          <w:tcPr>
            <w:tcW w:w="1413" w:type="dxa"/>
          </w:tcPr>
          <w:p w14:paraId="33F8D6D5" w14:textId="42C5DDD9" w:rsidR="00B608D9" w:rsidRPr="00035C49" w:rsidRDefault="00B608D9" w:rsidP="003635DB">
            <w:pPr>
              <w:rPr>
                <w:i/>
                <w:sz w:val="16"/>
                <w:szCs w:val="16"/>
                <w:lang w:val="en-GB"/>
              </w:rPr>
            </w:pPr>
            <w:r w:rsidRPr="00035C49">
              <w:rPr>
                <w:i/>
                <w:sz w:val="16"/>
                <w:szCs w:val="16"/>
                <w:lang w:val="en-GB"/>
              </w:rPr>
              <w:t xml:space="preserve">The final step </w:t>
            </w:r>
            <w:r>
              <w:rPr>
                <w:i/>
                <w:sz w:val="16"/>
                <w:szCs w:val="16"/>
                <w:lang w:val="en-GB"/>
              </w:rPr>
              <w:t>–</w:t>
            </w:r>
            <w:r w:rsidRPr="00035C49">
              <w:rPr>
                <w:i/>
                <w:sz w:val="16"/>
                <w:szCs w:val="16"/>
                <w:lang w:val="en-GB"/>
              </w:rPr>
              <w:t xml:space="preserve"> Laggards</w:t>
            </w:r>
            <w:r>
              <w:rPr>
                <w:i/>
                <w:sz w:val="16"/>
                <w:szCs w:val="16"/>
                <w:lang w:val="en-GB"/>
              </w:rPr>
              <w:br/>
              <w:t xml:space="preserve">16% </w:t>
            </w:r>
            <w:r w:rsidR="00E46B87">
              <w:rPr>
                <w:i/>
                <w:sz w:val="16"/>
                <w:szCs w:val="16"/>
                <w:lang w:val="en-GB"/>
              </w:rPr>
              <w:t>of market</w:t>
            </w:r>
          </w:p>
          <w:p w14:paraId="6C566AA4" w14:textId="77777777" w:rsidR="00B608D9" w:rsidRPr="00035C49" w:rsidRDefault="00B608D9" w:rsidP="003635DB">
            <w:pPr>
              <w:rPr>
                <w:i/>
                <w:sz w:val="16"/>
                <w:szCs w:val="16"/>
                <w:lang w:val="en-GB"/>
              </w:rPr>
            </w:pPr>
          </w:p>
        </w:tc>
        <w:tc>
          <w:tcPr>
            <w:tcW w:w="6889" w:type="dxa"/>
          </w:tcPr>
          <w:p w14:paraId="79323FDA" w14:textId="7879351C" w:rsidR="00B608D9" w:rsidRPr="00035C49" w:rsidRDefault="00B608D9" w:rsidP="00B608D9">
            <w:pPr>
              <w:rPr>
                <w:b/>
                <w:sz w:val="16"/>
                <w:szCs w:val="16"/>
                <w:lang w:val="en-GB"/>
              </w:rPr>
            </w:pPr>
            <w:r w:rsidRPr="00035C49">
              <w:rPr>
                <w:sz w:val="16"/>
                <w:lang w:val="en-GB"/>
              </w:rPr>
              <w:t>In addition, laggards adopt, and more remote regions starts adopting. The diffusion growth rate slows down, and diffusion eventually reaches its maximum potential as all potential adopters have adopted.</w:t>
            </w:r>
            <w:r>
              <w:rPr>
                <w:sz w:val="16"/>
                <w:lang w:val="en-GB"/>
              </w:rPr>
              <w:t xml:space="preserve"> </w:t>
            </w:r>
          </w:p>
        </w:tc>
      </w:tr>
    </w:tbl>
    <w:p w14:paraId="6ED6E771" w14:textId="77777777" w:rsidR="00BC61D8" w:rsidRPr="00035C49" w:rsidRDefault="00BC61D8" w:rsidP="00BC61D8"/>
    <w:p w14:paraId="1164AE1E" w14:textId="755A4F6A" w:rsidR="00BC61D8" w:rsidRPr="00035C49" w:rsidRDefault="00BC61D8" w:rsidP="00BC61D8">
      <w:r w:rsidRPr="00035C49">
        <w:t>The</w:t>
      </w:r>
      <w:r w:rsidR="001C7A81">
        <w:t xml:space="preserve"> authors assessment of the expected diffusion pattern on a national scale </w:t>
      </w:r>
      <w:r w:rsidRPr="00035C49">
        <w:t xml:space="preserve">is shown in figure </w:t>
      </w:r>
      <w:r w:rsidR="00D30F17">
        <w:t>2</w:t>
      </w:r>
      <w:r w:rsidR="00320231" w:rsidRPr="00035C49">
        <w:t xml:space="preserve">. In principle, </w:t>
      </w:r>
      <w:r w:rsidRPr="00035C49">
        <w:t xml:space="preserve">three processes occur at the same time, adoption within a region, expansion of adoption to new regions and an expansion in the supply of models </w:t>
      </w:r>
      <w:r w:rsidR="00C12E30" w:rsidRPr="00035C49">
        <w:t xml:space="preserve">in more segments. Eventually the market </w:t>
      </w:r>
      <w:r w:rsidR="00695C58" w:rsidRPr="00035C49">
        <w:t>will cover</w:t>
      </w:r>
      <w:r w:rsidR="00C12E30" w:rsidRPr="00035C49">
        <w:t xml:space="preserve"> the entire nation and </w:t>
      </w:r>
      <w:r w:rsidR="00695C58" w:rsidRPr="00035C49">
        <w:t>automotive sector</w:t>
      </w:r>
      <w:r w:rsidR="00C12E30" w:rsidRPr="00035C49">
        <w:t xml:space="preserve">. </w:t>
      </w:r>
      <w:r w:rsidRPr="00035C49">
        <w:t xml:space="preserve"> </w:t>
      </w:r>
    </w:p>
    <w:p w14:paraId="5E78618E" w14:textId="77777777" w:rsidR="00C12E30" w:rsidRPr="00035C49" w:rsidRDefault="00C12E30" w:rsidP="00BC61D8"/>
    <w:p w14:paraId="4B436851" w14:textId="77777777" w:rsidR="00BC61D8" w:rsidRPr="00035C49" w:rsidRDefault="00BC61D8" w:rsidP="00BC61D8">
      <w:pPr>
        <w:keepNext/>
      </w:pPr>
      <w:r w:rsidRPr="00035C49">
        <w:rPr>
          <w:noProof/>
          <w:lang w:val="nb-NO" w:eastAsia="nb-NO"/>
        </w:rPr>
        <w:drawing>
          <wp:inline distT="0" distB="0" distL="0" distR="0" wp14:anchorId="136DF2E8" wp14:editId="02E43863">
            <wp:extent cx="5184845" cy="2315182"/>
            <wp:effectExtent l="0" t="0" r="0" b="952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8174" cy="2343460"/>
                    </a:xfrm>
                    <a:prstGeom prst="rect">
                      <a:avLst/>
                    </a:prstGeom>
                    <a:noFill/>
                  </pic:spPr>
                </pic:pic>
              </a:graphicData>
            </a:graphic>
          </wp:inline>
        </w:drawing>
      </w:r>
    </w:p>
    <w:p w14:paraId="7405BC32" w14:textId="51EDA59E" w:rsidR="00BC61D8" w:rsidRDefault="00BC61D8" w:rsidP="00BC61D8">
      <w:pPr>
        <w:pStyle w:val="Bildetekst"/>
        <w:rPr>
          <w:rFonts w:ascii="Arial" w:hAnsi="Arial" w:cs="Arial"/>
          <w:sz w:val="18"/>
          <w:szCs w:val="16"/>
          <w:lang w:val="en-GB"/>
        </w:rPr>
      </w:pPr>
      <w:r w:rsidRPr="00035C49">
        <w:rPr>
          <w:rFonts w:ascii="Arial" w:hAnsi="Arial" w:cs="Arial"/>
          <w:sz w:val="18"/>
          <w:szCs w:val="16"/>
          <w:lang w:val="en-GB"/>
        </w:rPr>
        <w:t xml:space="preserve">Figure </w:t>
      </w:r>
      <w:r w:rsidR="00D30F17">
        <w:rPr>
          <w:rFonts w:ascii="Arial" w:hAnsi="Arial" w:cs="Arial"/>
          <w:sz w:val="18"/>
          <w:szCs w:val="16"/>
          <w:lang w:val="en-GB"/>
        </w:rPr>
        <w:t>2</w:t>
      </w:r>
      <w:r w:rsidR="002C24D4" w:rsidRPr="00035C49">
        <w:rPr>
          <w:rFonts w:ascii="Arial" w:hAnsi="Arial" w:cs="Arial"/>
          <w:sz w:val="18"/>
          <w:szCs w:val="16"/>
          <w:lang w:val="en-GB"/>
        </w:rPr>
        <w:t xml:space="preserve"> </w:t>
      </w:r>
      <w:r w:rsidR="001C7A81">
        <w:rPr>
          <w:rFonts w:ascii="Arial" w:hAnsi="Arial" w:cs="Arial"/>
          <w:sz w:val="18"/>
          <w:szCs w:val="16"/>
          <w:lang w:val="en-GB"/>
        </w:rPr>
        <w:t>Authors assessment of the e</w:t>
      </w:r>
      <w:r w:rsidRPr="00035C49">
        <w:rPr>
          <w:rFonts w:ascii="Arial" w:hAnsi="Arial" w:cs="Arial"/>
          <w:sz w:val="18"/>
          <w:szCs w:val="16"/>
          <w:lang w:val="en-GB"/>
        </w:rPr>
        <w:t>xpected pattern of market diffusion, the first four steps</w:t>
      </w:r>
      <w:r w:rsidR="00B608D9">
        <w:rPr>
          <w:rFonts w:ascii="Arial" w:hAnsi="Arial" w:cs="Arial"/>
          <w:sz w:val="18"/>
          <w:szCs w:val="16"/>
          <w:lang w:val="en-GB"/>
        </w:rPr>
        <w:t>, c</w:t>
      </w:r>
      <w:r w:rsidR="001C7A81">
        <w:rPr>
          <w:rFonts w:ascii="Arial" w:hAnsi="Arial" w:cs="Arial"/>
          <w:sz w:val="18"/>
          <w:szCs w:val="16"/>
          <w:lang w:val="en-GB"/>
        </w:rPr>
        <w:t>.</w:t>
      </w:r>
      <w:r w:rsidR="00B608D9">
        <w:rPr>
          <w:rFonts w:ascii="Arial" w:hAnsi="Arial" w:cs="Arial"/>
          <w:sz w:val="18"/>
          <w:szCs w:val="16"/>
          <w:lang w:val="en-GB"/>
        </w:rPr>
        <w:t>f</w:t>
      </w:r>
      <w:r w:rsidR="001C7A81">
        <w:rPr>
          <w:rFonts w:ascii="Arial" w:hAnsi="Arial" w:cs="Arial"/>
          <w:sz w:val="18"/>
          <w:szCs w:val="16"/>
          <w:lang w:val="en-GB"/>
        </w:rPr>
        <w:t>.</w:t>
      </w:r>
      <w:r w:rsidR="00B608D9">
        <w:rPr>
          <w:rFonts w:ascii="Arial" w:hAnsi="Arial" w:cs="Arial"/>
          <w:sz w:val="18"/>
          <w:szCs w:val="16"/>
          <w:lang w:val="en-GB"/>
        </w:rPr>
        <w:t xml:space="preserve"> table 2,</w:t>
      </w:r>
      <w:r w:rsidRPr="00035C49">
        <w:rPr>
          <w:rFonts w:ascii="Arial" w:hAnsi="Arial" w:cs="Arial"/>
          <w:sz w:val="18"/>
          <w:szCs w:val="16"/>
          <w:lang w:val="en-GB"/>
        </w:rPr>
        <w:t xml:space="preserve"> taken into account. White are initial </w:t>
      </w:r>
      <w:r w:rsidR="00C80645" w:rsidRPr="00035C49">
        <w:rPr>
          <w:rFonts w:ascii="Arial" w:hAnsi="Arial" w:cs="Arial"/>
          <w:sz w:val="18"/>
          <w:szCs w:val="16"/>
          <w:lang w:val="en-GB"/>
        </w:rPr>
        <w:t>areas;</w:t>
      </w:r>
      <w:r w:rsidRPr="00035C49">
        <w:rPr>
          <w:rFonts w:ascii="Arial" w:hAnsi="Arial" w:cs="Arial"/>
          <w:sz w:val="18"/>
          <w:szCs w:val="16"/>
          <w:lang w:val="en-GB"/>
        </w:rPr>
        <w:t xml:space="preserve"> + signs illustrates a deeper diffusion within areas where EVs have been taken into use. Arrows mark diffusion to new areas with increasing distance to the original areas with yellow, blue and green colour. </w:t>
      </w:r>
    </w:p>
    <w:p w14:paraId="1B11C307" w14:textId="77777777" w:rsidR="00772E40" w:rsidRPr="00C80645" w:rsidRDefault="00772E40" w:rsidP="00772E40">
      <w:pPr>
        <w:pStyle w:val="Overskrift1"/>
      </w:pPr>
      <w:r w:rsidRPr="00C80645">
        <w:lastRenderedPageBreak/>
        <w:t>Material and method</w:t>
      </w:r>
    </w:p>
    <w:p w14:paraId="13739692" w14:textId="1F878930" w:rsidR="00B23D40" w:rsidRPr="00C80645" w:rsidRDefault="00B23D40" w:rsidP="00B23D40">
      <w:r w:rsidRPr="00C80645">
        <w:t>Consumer attitude to</w:t>
      </w:r>
      <w:r w:rsidR="00B264DD" w:rsidRPr="00C80645">
        <w:t>,</w:t>
      </w:r>
      <w:r w:rsidRPr="00C80645">
        <w:t xml:space="preserve"> and behaviour and experience with</w:t>
      </w:r>
      <w:r w:rsidR="00B264DD" w:rsidRPr="00C80645">
        <w:t>,</w:t>
      </w:r>
      <w:r w:rsidRPr="00C80645">
        <w:t xml:space="preserve"> battery electric vehicles was surveyed by the COMPETT Electromobil</w:t>
      </w:r>
      <w:r w:rsidR="00C80645" w:rsidRPr="00C80645">
        <w:t>it</w:t>
      </w:r>
      <w:r w:rsidRPr="00C80645">
        <w:t xml:space="preserve">y+ project. 1721 nationwide </w:t>
      </w:r>
      <w:r w:rsidR="00E57514" w:rsidRPr="00C80645">
        <w:t>BEV</w:t>
      </w:r>
      <w:r w:rsidRPr="00C80645">
        <w:t xml:space="preserve"> owners belonging to the Norwegian EV association and 2241 random </w:t>
      </w:r>
      <w:r w:rsidR="0086204F" w:rsidRPr="00C80645">
        <w:t>ICEV</w:t>
      </w:r>
      <w:r w:rsidRPr="00C80645">
        <w:t xml:space="preserve"> owning people from members of the Norwegian Automobile Federation (NAF) in the Oslo region, responded to a survey in January and February 2014 (Figenbaum</w:t>
      </w:r>
      <w:r w:rsidR="00971081">
        <w:t xml:space="preserve"> et al </w:t>
      </w:r>
      <w:r w:rsidRPr="00C80645">
        <w:t xml:space="preserve">2014). </w:t>
      </w:r>
      <w:r w:rsidR="0009725B" w:rsidRPr="00C80645">
        <w:t>ICEV owners were</w:t>
      </w:r>
      <w:r w:rsidRPr="00C80645">
        <w:t xml:space="preserve"> divided into</w:t>
      </w:r>
      <w:r w:rsidR="00971081">
        <w:t xml:space="preserve"> those </w:t>
      </w:r>
      <w:r w:rsidRPr="00C80645">
        <w:t xml:space="preserve">  expressing an interest </w:t>
      </w:r>
      <w:r w:rsidR="00971081" w:rsidRPr="00C80645">
        <w:t xml:space="preserve">respectively </w:t>
      </w:r>
      <w:r w:rsidRPr="00C80645">
        <w:t xml:space="preserve">no interest in buying </w:t>
      </w:r>
      <w:r w:rsidR="0009725B" w:rsidRPr="00C80645">
        <w:t>a BEV</w:t>
      </w:r>
      <w:r w:rsidRPr="00C80645">
        <w:t xml:space="preserve">. </w:t>
      </w:r>
      <w:r w:rsidR="00971081">
        <w:t>S</w:t>
      </w:r>
      <w:r w:rsidRPr="00C80645">
        <w:t xml:space="preserve">urvey </w:t>
      </w:r>
      <w:r w:rsidR="00971081">
        <w:t xml:space="preserve">links </w:t>
      </w:r>
      <w:r w:rsidRPr="00C80645">
        <w:t xml:space="preserve">was sent out in a newsletter from the EV association and </w:t>
      </w:r>
      <w:r w:rsidR="0009725B" w:rsidRPr="00C80645">
        <w:t>in an e-mail to NAF members.</w:t>
      </w:r>
      <w:r w:rsidRPr="00C80645">
        <w:t xml:space="preserve"> The response rates were 22-40% depending on assumptions made on how many saw the</w:t>
      </w:r>
      <w:r w:rsidR="00971081">
        <w:t xml:space="preserve"> newsletter </w:t>
      </w:r>
      <w:r w:rsidRPr="00C80645">
        <w:t>link (</w:t>
      </w:r>
      <w:r w:rsidR="00971081">
        <w:t>Ibid</w:t>
      </w:r>
      <w:r w:rsidRPr="00C80645">
        <w:t>).</w:t>
      </w:r>
      <w:r w:rsidR="00EB12FF">
        <w:t xml:space="preserve"> </w:t>
      </w:r>
    </w:p>
    <w:p w14:paraId="54642D43" w14:textId="77777777" w:rsidR="00E16536" w:rsidRPr="00C80645" w:rsidRDefault="00E16536" w:rsidP="00B23D40"/>
    <w:p w14:paraId="22295575" w14:textId="7369C2E6" w:rsidR="00634A37" w:rsidRPr="00C80645" w:rsidRDefault="00B23D40" w:rsidP="00634A37">
      <w:r w:rsidRPr="00C80645">
        <w:t xml:space="preserve">At that time little knowledge existed on the usage of the latest generation BEVs. </w:t>
      </w:r>
      <w:r w:rsidR="00971081">
        <w:t>R</w:t>
      </w:r>
      <w:r w:rsidR="00E16536" w:rsidRPr="00C80645">
        <w:t xml:space="preserve">eviews of international </w:t>
      </w:r>
      <w:r w:rsidR="00E57514" w:rsidRPr="00C80645">
        <w:t>BEV</w:t>
      </w:r>
      <w:r w:rsidR="00E16536" w:rsidRPr="00C80645">
        <w:t xml:space="preserve"> related surveys (Hjorthol 2013) and of 20 earlier Norwegian surveys (Figenbaum &amp; Kolbenstvedt 2013) were used </w:t>
      </w:r>
      <w:r w:rsidR="00971081">
        <w:t xml:space="preserve">to </w:t>
      </w:r>
      <w:r w:rsidR="00971081" w:rsidRPr="00C80645">
        <w:t>identify factors of relevance to BEV adoption</w:t>
      </w:r>
      <w:r w:rsidR="00971081">
        <w:t xml:space="preserve"> and </w:t>
      </w:r>
      <w:r w:rsidR="00E16536" w:rsidRPr="00C80645">
        <w:t xml:space="preserve">as inputs to the survey formulation. </w:t>
      </w:r>
      <w:r w:rsidRPr="00C80645">
        <w:t xml:space="preserve"> The questionnaire should cover as many as possible of the relevant topics </w:t>
      </w:r>
      <w:r w:rsidR="00E16536" w:rsidRPr="00C80645">
        <w:t>and make it possible</w:t>
      </w:r>
      <w:r w:rsidRPr="00C80645">
        <w:t xml:space="preserve"> to identify characteristics of BEV owners and their motivations</w:t>
      </w:r>
      <w:r w:rsidR="00E16536" w:rsidRPr="00C80645">
        <w:t>. Some question should be compatible with earlier surveys</w:t>
      </w:r>
      <w:r w:rsidRPr="00C80645">
        <w:t xml:space="preserve"> to follow changing attitudes to BEVs</w:t>
      </w:r>
      <w:r w:rsidR="00725BAE">
        <w:t>. It</w:t>
      </w:r>
      <w:r w:rsidR="00E16536" w:rsidRPr="00C80645">
        <w:t xml:space="preserve"> should </w:t>
      </w:r>
      <w:r w:rsidR="00725BAE">
        <w:t xml:space="preserve">also </w:t>
      </w:r>
      <w:r w:rsidR="00E16536" w:rsidRPr="00C80645">
        <w:t>be possible</w:t>
      </w:r>
      <w:r w:rsidRPr="00C80645">
        <w:t xml:space="preserve"> to compare with data from the </w:t>
      </w:r>
      <w:r w:rsidR="00E16536" w:rsidRPr="00C80645">
        <w:t xml:space="preserve">Norwegian </w:t>
      </w:r>
      <w:r w:rsidRPr="00C80645">
        <w:t>national travel survey. The rapid development of BEVs makes comparisons with earlier surveys complicated</w:t>
      </w:r>
      <w:r w:rsidR="00725BAE">
        <w:t>. T</w:t>
      </w:r>
      <w:r w:rsidRPr="00C80645">
        <w:t xml:space="preserve">he </w:t>
      </w:r>
      <w:r w:rsidR="00725BAE">
        <w:t xml:space="preserve">vehicles available in 2014 and 2016 were not comparable to </w:t>
      </w:r>
      <w:r w:rsidRPr="00C80645">
        <w:t>the ones commonly in use in 2010</w:t>
      </w:r>
      <w:r w:rsidR="0025040A" w:rsidRPr="00C80645">
        <w:t xml:space="preserve"> and earlier</w:t>
      </w:r>
      <w:r w:rsidRPr="00C80645">
        <w:t xml:space="preserve">. </w:t>
      </w:r>
      <w:r w:rsidR="00EB12FF">
        <w:t>The</w:t>
      </w:r>
      <w:r w:rsidR="0025040A" w:rsidRPr="00C80645">
        <w:t xml:space="preserve"> survey</w:t>
      </w:r>
      <w:r w:rsidRPr="00C80645">
        <w:t xml:space="preserve"> of ICE</w:t>
      </w:r>
      <w:r w:rsidR="0025040A" w:rsidRPr="00C80645">
        <w:t>V</w:t>
      </w:r>
      <w:r w:rsidRPr="00C80645">
        <w:t xml:space="preserve"> owners contained a subset of the </w:t>
      </w:r>
      <w:r w:rsidR="00EB12FF">
        <w:t xml:space="preserve">BEV owner </w:t>
      </w:r>
      <w:r w:rsidRPr="00C80645">
        <w:t>questions</w:t>
      </w:r>
      <w:r w:rsidR="00725BAE">
        <w:t xml:space="preserve">, </w:t>
      </w:r>
      <w:r w:rsidR="0009725B" w:rsidRPr="00C80645">
        <w:t>with the addition of questions related to their knowledge of and attitudes to BEV</w:t>
      </w:r>
      <w:r w:rsidRPr="00C80645">
        <w:t xml:space="preserve">. </w:t>
      </w:r>
    </w:p>
    <w:p w14:paraId="26C0357C" w14:textId="77777777" w:rsidR="00634A37" w:rsidRPr="00C80645" w:rsidRDefault="00634A37" w:rsidP="00634A37"/>
    <w:p w14:paraId="0BED56D0" w14:textId="26B96027" w:rsidR="0018528F" w:rsidRPr="00C80645" w:rsidRDefault="00E16536" w:rsidP="00634A37">
      <w:r w:rsidRPr="00C80645">
        <w:t xml:space="preserve">A new </w:t>
      </w:r>
      <w:r w:rsidR="00634A37" w:rsidRPr="00C80645">
        <w:t xml:space="preserve">user </w:t>
      </w:r>
      <w:r w:rsidR="0018528F" w:rsidRPr="00C80645">
        <w:t>survey</w:t>
      </w:r>
      <w:r w:rsidRPr="00C80645">
        <w:t>, with many of the same questions</w:t>
      </w:r>
      <w:r w:rsidR="0018528F" w:rsidRPr="00C80645">
        <w:t xml:space="preserve"> was repeated in </w:t>
      </w:r>
      <w:r w:rsidR="0009725B" w:rsidRPr="00C80645">
        <w:t xml:space="preserve">March </w:t>
      </w:r>
      <w:r w:rsidR="0018528F" w:rsidRPr="00C80645">
        <w:t xml:space="preserve">2016, this time with </w:t>
      </w:r>
      <w:r w:rsidRPr="00C80645">
        <w:t>3111 BEV respondents and 2080</w:t>
      </w:r>
      <w:r w:rsidR="0018528F" w:rsidRPr="00C80645">
        <w:t xml:space="preserve"> ICEV respondents as well as </w:t>
      </w:r>
      <w:r w:rsidR="00EB12FF">
        <w:t>Plug in Hybrid (</w:t>
      </w:r>
      <w:r w:rsidR="0018528F" w:rsidRPr="00C80645">
        <w:t>PHEV</w:t>
      </w:r>
      <w:r w:rsidR="00EB12FF">
        <w:t>)</w:t>
      </w:r>
      <w:r w:rsidR="0018528F" w:rsidRPr="00C80645">
        <w:t xml:space="preserve"> owners</w:t>
      </w:r>
      <w:r w:rsidRPr="00C80645">
        <w:t xml:space="preserve"> (Figenbaum </w:t>
      </w:r>
      <w:r w:rsidR="00F54861">
        <w:t>&amp;</w:t>
      </w:r>
      <w:r w:rsidRPr="00C80645">
        <w:t xml:space="preserve"> Kolbenstvedt 2016)</w:t>
      </w:r>
      <w:r w:rsidR="0018528F" w:rsidRPr="00C80645">
        <w:t xml:space="preserve">. </w:t>
      </w:r>
    </w:p>
    <w:p w14:paraId="2B280E5B" w14:textId="77777777" w:rsidR="00634A37" w:rsidRPr="00C80645" w:rsidRDefault="00634A37" w:rsidP="00634A37"/>
    <w:p w14:paraId="3ABB73A7" w14:textId="31920572" w:rsidR="00B23D40" w:rsidRPr="00C80645" w:rsidRDefault="00AD5B61" w:rsidP="005B2D40">
      <w:r w:rsidRPr="00C80645">
        <w:t>In addition, interviews were conducted with stakeholders from government, local authorities, NGOs, consumer organizations, car importers and car dealers April to September 2014 (Assum</w:t>
      </w:r>
      <w:r>
        <w:t xml:space="preserve"> et al</w:t>
      </w:r>
      <w:r w:rsidRPr="00C80645">
        <w:t xml:space="preserve"> 2014). </w:t>
      </w:r>
      <w:r>
        <w:t>F</w:t>
      </w:r>
      <w:r w:rsidR="00B23D40" w:rsidRPr="00C80645">
        <w:t>acts on incentives, the timeline of BEV introduction</w:t>
      </w:r>
      <w:r w:rsidR="00E16536" w:rsidRPr="00C80645">
        <w:t xml:space="preserve">, </w:t>
      </w:r>
      <w:r w:rsidR="00B23D40" w:rsidRPr="00C80645">
        <w:t>the Norwegian BEV history (Figenbaum &amp; Kolbenstvedt 2013</w:t>
      </w:r>
      <w:r w:rsidR="00E16536" w:rsidRPr="00C80645">
        <w:t>) and</w:t>
      </w:r>
      <w:r w:rsidR="00B23D40" w:rsidRPr="00C80645">
        <w:t xml:space="preserve"> geographical BEV registration statistics fro</w:t>
      </w:r>
      <w:r w:rsidR="00DA268B">
        <w:t xml:space="preserve">m the national vehicle register (NPRA and the EV Association </w:t>
      </w:r>
      <w:r w:rsidR="00B23D40" w:rsidRPr="00C80645">
        <w:t>2008-2014)</w:t>
      </w:r>
      <w:r w:rsidR="00DA268B">
        <w:t>)</w:t>
      </w:r>
      <w:r w:rsidR="00B23D40" w:rsidRPr="00C80645">
        <w:t>, Statistics Norway (2013, 2014) and other sources</w:t>
      </w:r>
      <w:r w:rsidR="00725BAE">
        <w:t>,</w:t>
      </w:r>
      <w:r w:rsidR="00E16536" w:rsidRPr="00C80645">
        <w:t xml:space="preserve"> are </w:t>
      </w:r>
      <w:r w:rsidR="00725BAE">
        <w:t xml:space="preserve">also </w:t>
      </w:r>
      <w:r w:rsidR="00E16536" w:rsidRPr="00C80645">
        <w:t>used to explain the diffusion process</w:t>
      </w:r>
      <w:r w:rsidR="00B23D40" w:rsidRPr="00C80645">
        <w:t xml:space="preserve">. </w:t>
      </w:r>
    </w:p>
    <w:p w14:paraId="1591FFA4" w14:textId="77777777" w:rsidR="002B52FC" w:rsidRPr="00C80645" w:rsidRDefault="002B52FC" w:rsidP="002B52FC">
      <w:pPr>
        <w:pStyle w:val="Listeavsnitt"/>
        <w:numPr>
          <w:ilvl w:val="0"/>
          <w:numId w:val="7"/>
        </w:numPr>
        <w:spacing w:before="240" w:after="240" w:line="240" w:lineRule="auto"/>
        <w:jc w:val="both"/>
        <w:outlineLvl w:val="1"/>
        <w:rPr>
          <w:b/>
          <w:vanish/>
        </w:rPr>
      </w:pPr>
    </w:p>
    <w:p w14:paraId="1D08E1F7" w14:textId="77777777" w:rsidR="002B52FC" w:rsidRPr="00C80645" w:rsidRDefault="002B52FC" w:rsidP="002B52FC">
      <w:pPr>
        <w:pStyle w:val="Listeavsnitt"/>
        <w:numPr>
          <w:ilvl w:val="0"/>
          <w:numId w:val="7"/>
        </w:numPr>
        <w:spacing w:before="240" w:after="240" w:line="240" w:lineRule="auto"/>
        <w:jc w:val="both"/>
        <w:outlineLvl w:val="1"/>
        <w:rPr>
          <w:b/>
          <w:vanish/>
        </w:rPr>
      </w:pPr>
    </w:p>
    <w:p w14:paraId="78D17AB9" w14:textId="77777777" w:rsidR="00B23D40" w:rsidRPr="00C80645" w:rsidRDefault="00B23D40" w:rsidP="00D5319F">
      <w:pPr>
        <w:pStyle w:val="Overskrift1"/>
      </w:pPr>
      <w:r w:rsidRPr="00C80645">
        <w:t xml:space="preserve">Observed diffusion </w:t>
      </w:r>
    </w:p>
    <w:p w14:paraId="175DFBAD" w14:textId="61AA0F8D" w:rsidR="00E70D10" w:rsidRPr="00C80645" w:rsidRDefault="00E70D10" w:rsidP="00E70D10">
      <w:r w:rsidRPr="00C80645">
        <w:t>When looking at the diffusion into the fleet and in new vehicle sales and market shares</w:t>
      </w:r>
      <w:r w:rsidR="003D26E7" w:rsidRPr="00C80645">
        <w:t xml:space="preserve">, one must </w:t>
      </w:r>
      <w:r w:rsidRPr="00C80645">
        <w:t xml:space="preserve">take into account the number of models available in </w:t>
      </w:r>
      <w:r w:rsidR="003D26E7" w:rsidRPr="00C80645">
        <w:t>each segment</w:t>
      </w:r>
      <w:r w:rsidR="00725BAE">
        <w:t>,</w:t>
      </w:r>
      <w:r w:rsidRPr="00C80645">
        <w:t xml:space="preserve"> and the supply of </w:t>
      </w:r>
      <w:r w:rsidR="003D26E7" w:rsidRPr="00C80645">
        <w:t>BEVs</w:t>
      </w:r>
      <w:r w:rsidRPr="00C80645">
        <w:t xml:space="preserve"> being limited or not. The first model in unlimited supply, the Mitsubishi I-Miev (Mitsubishi 2010), became available in Norway in 2011</w:t>
      </w:r>
      <w:r w:rsidR="003D26E7" w:rsidRPr="00C80645">
        <w:t>. That year</w:t>
      </w:r>
      <w:r w:rsidRPr="00C80645">
        <w:t xml:space="preserve"> will thus be selected as the starting year</w:t>
      </w:r>
      <w:r w:rsidR="003D26E7" w:rsidRPr="00C80645">
        <w:t xml:space="preserve"> of the regular BEV diffusion</w:t>
      </w:r>
      <w:r w:rsidRPr="00C80645">
        <w:t xml:space="preserve">. BEVs available prior to 2011 where constrained to small volumes and limited dealer </w:t>
      </w:r>
      <w:r w:rsidRPr="00DA268B">
        <w:t>coverage (Figenbaum</w:t>
      </w:r>
      <w:r w:rsidR="00DA268B" w:rsidRPr="00DA268B">
        <w:t xml:space="preserve"> and </w:t>
      </w:r>
      <w:r w:rsidRPr="00DA268B">
        <w:t>Kolbenstvedt 2013).</w:t>
      </w:r>
      <w:r w:rsidRPr="00C80645">
        <w:t xml:space="preserve"> </w:t>
      </w:r>
    </w:p>
    <w:p w14:paraId="37AF0A26" w14:textId="77777777" w:rsidR="00612395" w:rsidRPr="00C80645" w:rsidRDefault="00612395" w:rsidP="00612395">
      <w:pPr>
        <w:pStyle w:val="Overskrift2"/>
      </w:pPr>
      <w:bookmarkStart w:id="3" w:name="_Toc408840266"/>
      <w:bookmarkStart w:id="4" w:name="_Toc409423972"/>
      <w:bookmarkStart w:id="5" w:name="_Toc420068399"/>
      <w:r w:rsidRPr="00C80645">
        <w:t>National BEV fleet</w:t>
      </w:r>
    </w:p>
    <w:p w14:paraId="51251BF6" w14:textId="589950B4" w:rsidR="00612395" w:rsidRPr="00C80645" w:rsidRDefault="00612395" w:rsidP="00612395">
      <w:r w:rsidRPr="00C80645">
        <w:t>Prior to 1998, only some niche experiments w</w:t>
      </w:r>
      <w:r w:rsidR="00C80645" w:rsidRPr="00C80645">
        <w:t>ere</w:t>
      </w:r>
      <w:r w:rsidRPr="00C80645">
        <w:t xml:space="preserve"> carried out and the number of BEVs in the fleet reached 146 </w:t>
      </w:r>
      <w:r w:rsidR="00E70D10" w:rsidRPr="00C80645">
        <w:t>in</w:t>
      </w:r>
      <w:r w:rsidRPr="00C80645">
        <w:t xml:space="preserve"> 1998 (Asphjell et al 2013). The fleet increased slowly through the 2000s, as consumers became the main buyers. In the beginning of 2010, the number of BEVs in Norway reached 3000 (Figenbaum &amp; Kolbenstvedt 2013) and increased rapidly from 2011 as the traditional vehicle manufacturers launched their models one by one, reaching 70 000 BEVs, or </w:t>
      </w:r>
      <w:r w:rsidRPr="00DA268B">
        <w:t>2.</w:t>
      </w:r>
      <w:r w:rsidR="00E269C3" w:rsidRPr="00DA268B">
        <w:t>8</w:t>
      </w:r>
      <w:r w:rsidRPr="00DA268B">
        <w:t>%</w:t>
      </w:r>
      <w:r w:rsidRPr="00C80645">
        <w:t xml:space="preserve"> of the total Norwegian passenger car fleet in 2015. </w:t>
      </w:r>
    </w:p>
    <w:p w14:paraId="772CB4D6" w14:textId="77777777" w:rsidR="00A37D87" w:rsidRPr="00C80645" w:rsidRDefault="00A37D87" w:rsidP="00D5319F">
      <w:pPr>
        <w:pStyle w:val="Overskrift2"/>
      </w:pPr>
      <w:r w:rsidRPr="00C80645">
        <w:t>Market development from 2011</w:t>
      </w:r>
    </w:p>
    <w:p w14:paraId="092268E9" w14:textId="0DCA8508" w:rsidR="00AA1249" w:rsidRPr="00C80645" w:rsidRDefault="00A37D87" w:rsidP="00AA1249">
      <w:pPr>
        <w:rPr>
          <w:lang w:eastAsia="nb-NO"/>
        </w:rPr>
      </w:pPr>
      <w:r w:rsidRPr="00C80645">
        <w:t xml:space="preserve">The market share of BEVs of total </w:t>
      </w:r>
      <w:r w:rsidR="00E269C3">
        <w:t xml:space="preserve">new </w:t>
      </w:r>
      <w:r w:rsidRPr="00C80645">
        <w:t>passenger vehicles</w:t>
      </w:r>
      <w:r w:rsidR="00E269C3">
        <w:t xml:space="preserve"> sales</w:t>
      </w:r>
      <w:r w:rsidRPr="00C80645">
        <w:t xml:space="preserve"> for Norway </w:t>
      </w:r>
      <w:r w:rsidR="00066B73" w:rsidRPr="00C80645">
        <w:t>reached</w:t>
      </w:r>
      <w:r w:rsidRPr="00C80645">
        <w:t xml:space="preserve"> </w:t>
      </w:r>
      <w:r w:rsidR="00066B73" w:rsidRPr="00C80645">
        <w:t>1.4% in 2011, 2.9% in 2012, 5.5% in 2013 and</w:t>
      </w:r>
      <w:r w:rsidR="00E269C3">
        <w:t xml:space="preserve"> </w:t>
      </w:r>
      <w:r w:rsidRPr="00C80645">
        <w:t>12.6% in 2014 with some</w:t>
      </w:r>
      <w:r w:rsidR="00066B73" w:rsidRPr="00C80645">
        <w:t xml:space="preserve"> 16500 new vehicles sold and</w:t>
      </w:r>
      <w:r w:rsidRPr="00C80645">
        <w:t xml:space="preserve"> 2800 second-hand BEVs </w:t>
      </w:r>
      <w:r w:rsidR="00066B73" w:rsidRPr="00C80645">
        <w:t xml:space="preserve">imported. In 2015 the market share reached </w:t>
      </w:r>
      <w:r w:rsidR="00E269C3">
        <w:t>18</w:t>
      </w:r>
      <w:r w:rsidR="00066B73" w:rsidRPr="00C80645">
        <w:t>%.</w:t>
      </w:r>
      <w:r w:rsidRPr="00C80645">
        <w:t xml:space="preserve"> Some provinces had market shares above 20% (</w:t>
      </w:r>
      <w:r w:rsidR="00612395" w:rsidRPr="00C80645">
        <w:t>OFVAS 2016</w:t>
      </w:r>
      <w:r w:rsidRPr="00C80645">
        <w:t>)</w:t>
      </w:r>
      <w:r w:rsidR="00066B73" w:rsidRPr="00C80645">
        <w:t xml:space="preserve">. </w:t>
      </w:r>
      <w:r w:rsidR="00AA1249" w:rsidRPr="00C80645">
        <w:rPr>
          <w:lang w:eastAsia="nb-NO"/>
        </w:rPr>
        <w:t xml:space="preserve">The number of available models and </w:t>
      </w:r>
      <w:r w:rsidR="00AA1249" w:rsidRPr="00C80645">
        <w:rPr>
          <w:lang w:eastAsia="nb-NO"/>
        </w:rPr>
        <w:lastRenderedPageBreak/>
        <w:t xml:space="preserve">segments with BEVs available has increased over the years. In 2010-2012 the diffusion of vehicles and segments was in </w:t>
      </w:r>
      <w:r w:rsidR="00725BAE">
        <w:rPr>
          <w:lang w:eastAsia="nb-NO"/>
        </w:rPr>
        <w:t>step</w:t>
      </w:r>
      <w:r w:rsidR="00AA1249" w:rsidRPr="00C80645">
        <w:rPr>
          <w:lang w:eastAsia="nb-NO"/>
        </w:rPr>
        <w:t xml:space="preserve"> 1 according to figure </w:t>
      </w:r>
      <w:r w:rsidR="00AA1249">
        <w:rPr>
          <w:lang w:eastAsia="nb-NO"/>
        </w:rPr>
        <w:t>2</w:t>
      </w:r>
      <w:r w:rsidR="00AA1249" w:rsidRPr="00C80645">
        <w:rPr>
          <w:lang w:eastAsia="nb-NO"/>
        </w:rPr>
        <w:t xml:space="preserve">, </w:t>
      </w:r>
      <w:r w:rsidR="00725BAE">
        <w:rPr>
          <w:lang w:eastAsia="nb-NO"/>
        </w:rPr>
        <w:t>step</w:t>
      </w:r>
      <w:r w:rsidR="00AA1249" w:rsidRPr="00C80645">
        <w:rPr>
          <w:lang w:eastAsia="nb-NO"/>
        </w:rPr>
        <w:t xml:space="preserve"> </w:t>
      </w:r>
      <w:r w:rsidR="00725BAE">
        <w:rPr>
          <w:lang w:eastAsia="nb-NO"/>
        </w:rPr>
        <w:t>2 was reached in 2013, and step</w:t>
      </w:r>
      <w:r w:rsidR="00AA1249" w:rsidRPr="00C80645">
        <w:rPr>
          <w:lang w:eastAsia="nb-NO"/>
        </w:rPr>
        <w:t xml:space="preserve"> 3 from 2014, supporting diffusion into the early majority consumer group. </w:t>
      </w:r>
    </w:p>
    <w:p w14:paraId="081F6D2B" w14:textId="77777777" w:rsidR="00AA1249" w:rsidRDefault="00AA1249" w:rsidP="00A37D87"/>
    <w:p w14:paraId="38ABB8C7" w14:textId="307BE604" w:rsidR="004569E6" w:rsidRPr="00C80645" w:rsidRDefault="00A37D87" w:rsidP="00A37D87">
      <w:r w:rsidRPr="00C80645">
        <w:t xml:space="preserve">Figure </w:t>
      </w:r>
      <w:r w:rsidR="00D30F17">
        <w:t>3</w:t>
      </w:r>
      <w:r w:rsidRPr="00C80645">
        <w:t xml:space="preserve"> shows that </w:t>
      </w:r>
      <w:r w:rsidR="00612395" w:rsidRPr="00C80645">
        <w:t xml:space="preserve">the </w:t>
      </w:r>
      <w:r w:rsidRPr="00C80645">
        <w:t xml:space="preserve">general tendency is that, contrary to intuition, the </w:t>
      </w:r>
      <w:r w:rsidR="00E269C3">
        <w:t xml:space="preserve">BEV </w:t>
      </w:r>
      <w:r w:rsidRPr="00C80645">
        <w:t>models</w:t>
      </w:r>
      <w:r w:rsidR="00E269C3">
        <w:t xml:space="preserve"> already on the market</w:t>
      </w:r>
      <w:r w:rsidRPr="00C80645">
        <w:t xml:space="preserve"> keep </w:t>
      </w:r>
      <w:r w:rsidR="00066B73" w:rsidRPr="00C80645">
        <w:t xml:space="preserve">most of the </w:t>
      </w:r>
      <w:r w:rsidRPr="00C80645">
        <w:t>sales volume when new models enter the market</w:t>
      </w:r>
      <w:r w:rsidR="003D26E7" w:rsidRPr="00C80645">
        <w:t xml:space="preserve">. This situation has </w:t>
      </w:r>
      <w:r w:rsidRPr="00C80645">
        <w:t>contribut</w:t>
      </w:r>
      <w:r w:rsidR="003D26E7" w:rsidRPr="00C80645">
        <w:t>ed significantly t</w:t>
      </w:r>
      <w:r w:rsidRPr="00C80645">
        <w:t xml:space="preserve">o the rapid diffusion of BEVs. </w:t>
      </w:r>
      <w:r w:rsidR="00066B73" w:rsidRPr="00C80645">
        <w:t>After 2014 the BEV market has been dominated by Volkswagen</w:t>
      </w:r>
      <w:r w:rsidR="00612395" w:rsidRPr="00C80645">
        <w:t xml:space="preserve"> and the compact vehicle segment.</w:t>
      </w:r>
      <w:r w:rsidR="00066B73" w:rsidRPr="00C80645">
        <w:t xml:space="preserve"> Sales have been somewhat reduced in the </w:t>
      </w:r>
      <w:r w:rsidR="004569E6" w:rsidRPr="00C80645">
        <w:t>first half</w:t>
      </w:r>
      <w:r w:rsidR="00066B73" w:rsidRPr="00C80645">
        <w:t xml:space="preserve"> of 2016</w:t>
      </w:r>
      <w:r w:rsidR="004569E6" w:rsidRPr="00C80645">
        <w:t>. B</w:t>
      </w:r>
      <w:r w:rsidR="00612395" w:rsidRPr="00C80645">
        <w:t xml:space="preserve">uyers </w:t>
      </w:r>
      <w:r w:rsidR="004569E6" w:rsidRPr="00C80645">
        <w:t xml:space="preserve">are potentially </w:t>
      </w:r>
      <w:r w:rsidR="00066B73" w:rsidRPr="00C80645">
        <w:t>waiting fo</w:t>
      </w:r>
      <w:r w:rsidR="00AC1740" w:rsidRPr="00C80645">
        <w:t>r new models with longer range</w:t>
      </w:r>
      <w:r w:rsidR="00612395" w:rsidRPr="00C80645">
        <w:t xml:space="preserve"> to arrive</w:t>
      </w:r>
      <w:r w:rsidR="00725BAE">
        <w:t xml:space="preserve"> such as the BMW i3 with over 300 km range</w:t>
      </w:r>
      <w:r w:rsidR="00AC1740" w:rsidRPr="00C80645">
        <w:t xml:space="preserve">. </w:t>
      </w:r>
    </w:p>
    <w:p w14:paraId="2E213DE6" w14:textId="77777777" w:rsidR="00107F9E" w:rsidRPr="00C80645" w:rsidRDefault="00107F9E" w:rsidP="00A37D87"/>
    <w:p w14:paraId="5C24E544" w14:textId="384286B3" w:rsidR="00A37D87" w:rsidRPr="00C80645" w:rsidRDefault="00107F9E" w:rsidP="00A37D87">
      <w:r>
        <w:rPr>
          <w:noProof/>
          <w:lang w:val="nb-NO" w:eastAsia="nb-NO"/>
        </w:rPr>
        <w:drawing>
          <wp:inline distT="0" distB="0" distL="0" distR="0" wp14:anchorId="56EA1253" wp14:editId="60207EEA">
            <wp:extent cx="2475230" cy="2895600"/>
            <wp:effectExtent l="0" t="0" r="127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5230" cy="2895600"/>
                    </a:xfrm>
                    <a:prstGeom prst="rect">
                      <a:avLst/>
                    </a:prstGeom>
                    <a:noFill/>
                  </pic:spPr>
                </pic:pic>
              </a:graphicData>
            </a:graphic>
          </wp:inline>
        </w:drawing>
      </w:r>
      <w:r w:rsidR="00A9063E" w:rsidRPr="00C80645">
        <w:rPr>
          <w:lang w:eastAsia="nb-NO"/>
        </w:rPr>
        <w:t xml:space="preserve"> </w:t>
      </w:r>
      <w:r>
        <w:rPr>
          <w:noProof/>
          <w:lang w:val="nb-NO" w:eastAsia="nb-NO"/>
        </w:rPr>
        <w:drawing>
          <wp:inline distT="0" distB="0" distL="0" distR="0" wp14:anchorId="50FB8531" wp14:editId="3EAEC5F3">
            <wp:extent cx="2585085" cy="2926080"/>
            <wp:effectExtent l="0" t="0" r="5715" b="762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5085" cy="2926080"/>
                    </a:xfrm>
                    <a:prstGeom prst="rect">
                      <a:avLst/>
                    </a:prstGeom>
                    <a:noFill/>
                  </pic:spPr>
                </pic:pic>
              </a:graphicData>
            </a:graphic>
          </wp:inline>
        </w:drawing>
      </w:r>
    </w:p>
    <w:p w14:paraId="0E7C3BB2" w14:textId="2F4AFD00" w:rsidR="00A37D87" w:rsidRPr="00C80645" w:rsidRDefault="00A37D87" w:rsidP="00A37D87">
      <w:pPr>
        <w:pStyle w:val="Bildetekst"/>
        <w:rPr>
          <w:rFonts w:ascii="Arial" w:hAnsi="Arial" w:cs="Arial"/>
          <w:sz w:val="18"/>
          <w:lang w:val="en-GB"/>
        </w:rPr>
      </w:pPr>
      <w:r w:rsidRPr="00C80645">
        <w:rPr>
          <w:rFonts w:ascii="Arial" w:hAnsi="Arial" w:cs="Arial"/>
          <w:sz w:val="18"/>
          <w:lang w:val="en-GB"/>
        </w:rPr>
        <w:t xml:space="preserve">Figure </w:t>
      </w:r>
      <w:r w:rsidR="00D30F17">
        <w:rPr>
          <w:rFonts w:ascii="Arial" w:hAnsi="Arial" w:cs="Arial"/>
          <w:sz w:val="18"/>
          <w:lang w:val="en-GB"/>
        </w:rPr>
        <w:t>3</w:t>
      </w:r>
      <w:r w:rsidRPr="00C80645">
        <w:rPr>
          <w:rFonts w:ascii="Arial" w:hAnsi="Arial" w:cs="Arial"/>
          <w:sz w:val="18"/>
          <w:lang w:val="en-GB"/>
        </w:rPr>
        <w:t xml:space="preserve"> BEV sales per month</w:t>
      </w:r>
      <w:r w:rsidR="00066B73" w:rsidRPr="00C80645">
        <w:rPr>
          <w:rFonts w:ascii="Arial" w:hAnsi="Arial" w:cs="Arial"/>
          <w:sz w:val="18"/>
          <w:lang w:val="en-GB"/>
        </w:rPr>
        <w:t xml:space="preserve"> by model and brand (left) and segment (right)</w:t>
      </w:r>
      <w:r w:rsidRPr="00C80645">
        <w:rPr>
          <w:rFonts w:ascii="Arial" w:hAnsi="Arial" w:cs="Arial"/>
          <w:sz w:val="18"/>
          <w:lang w:val="en-GB"/>
        </w:rPr>
        <w:t>. Source: OFVAS (2016).</w:t>
      </w:r>
    </w:p>
    <w:p w14:paraId="4F0AD4E9" w14:textId="77777777" w:rsidR="00A37D87" w:rsidRPr="00C80645" w:rsidRDefault="00A37D87" w:rsidP="00A37D87">
      <w:pPr>
        <w:rPr>
          <w:b/>
        </w:rPr>
      </w:pPr>
    </w:p>
    <w:p w14:paraId="6D96BFCA" w14:textId="6AD8A371" w:rsidR="004569E6" w:rsidRPr="00C80645" w:rsidRDefault="004569E6" w:rsidP="004569E6">
      <w:r w:rsidRPr="00C80645">
        <w:t xml:space="preserve">Several brands have high share of BEVs of total sales as seen in figure </w:t>
      </w:r>
      <w:r w:rsidR="00AA1249">
        <w:t>4</w:t>
      </w:r>
      <w:r w:rsidRPr="00C80645">
        <w:t xml:space="preserve">. VW E-Golf would for instance have been the bestselling model in 2015 in Norway if counted separately. </w:t>
      </w:r>
    </w:p>
    <w:p w14:paraId="4B489DB8" w14:textId="77777777" w:rsidR="004569E6" w:rsidRPr="00C80645" w:rsidRDefault="004569E6" w:rsidP="00A37D87">
      <w:pPr>
        <w:rPr>
          <w:b/>
        </w:rPr>
      </w:pPr>
    </w:p>
    <w:p w14:paraId="3BD78711" w14:textId="2AB001CC" w:rsidR="00AC1740" w:rsidRPr="00C80645" w:rsidRDefault="00107F9E" w:rsidP="00AC1740">
      <w:pPr>
        <w:keepNext/>
      </w:pPr>
      <w:r>
        <w:rPr>
          <w:noProof/>
          <w:lang w:val="nb-NO" w:eastAsia="nb-NO"/>
        </w:rPr>
        <w:drawing>
          <wp:inline distT="0" distB="0" distL="0" distR="0" wp14:anchorId="0B972675" wp14:editId="44EF4828">
            <wp:extent cx="5389245" cy="1310640"/>
            <wp:effectExtent l="0" t="0" r="1905" b="381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9245" cy="1310640"/>
                    </a:xfrm>
                    <a:prstGeom prst="rect">
                      <a:avLst/>
                    </a:prstGeom>
                    <a:noFill/>
                  </pic:spPr>
                </pic:pic>
              </a:graphicData>
            </a:graphic>
          </wp:inline>
        </w:drawing>
      </w:r>
    </w:p>
    <w:p w14:paraId="56656E3E" w14:textId="140319F8" w:rsidR="00A37D87" w:rsidRPr="00C80645" w:rsidRDefault="00AC1740" w:rsidP="00AC1740">
      <w:pPr>
        <w:pStyle w:val="Bildetekst"/>
        <w:rPr>
          <w:rFonts w:ascii="Arial" w:hAnsi="Arial" w:cs="Arial"/>
          <w:sz w:val="18"/>
          <w:szCs w:val="16"/>
          <w:lang w:val="en-GB"/>
        </w:rPr>
      </w:pPr>
      <w:r w:rsidRPr="00C80645">
        <w:rPr>
          <w:rFonts w:ascii="Arial" w:hAnsi="Arial" w:cs="Arial"/>
          <w:sz w:val="18"/>
          <w:szCs w:val="16"/>
          <w:lang w:val="en-GB"/>
        </w:rPr>
        <w:t xml:space="preserve">Figure </w:t>
      </w:r>
      <w:r w:rsidR="00AA1249">
        <w:rPr>
          <w:rFonts w:ascii="Arial" w:hAnsi="Arial" w:cs="Arial"/>
          <w:sz w:val="18"/>
          <w:szCs w:val="16"/>
          <w:lang w:val="en-GB"/>
        </w:rPr>
        <w:t>4</w:t>
      </w:r>
      <w:r w:rsidRPr="00C80645">
        <w:rPr>
          <w:rFonts w:ascii="Arial" w:hAnsi="Arial" w:cs="Arial"/>
          <w:sz w:val="18"/>
          <w:szCs w:val="16"/>
          <w:lang w:val="en-GB"/>
        </w:rPr>
        <w:t xml:space="preserve"> Share of BEV, PHEV and ICEV sales in 2015 by brand that sells BEVs in Norway.</w:t>
      </w:r>
      <w:r w:rsidR="00FF2F6B">
        <w:rPr>
          <w:rFonts w:ascii="Arial" w:hAnsi="Arial" w:cs="Arial"/>
          <w:sz w:val="18"/>
          <w:szCs w:val="16"/>
          <w:lang w:val="en-GB"/>
        </w:rPr>
        <w:t xml:space="preserve"> Source: OFVAS 2016.</w:t>
      </w:r>
    </w:p>
    <w:p w14:paraId="06DF0E50" w14:textId="77777777" w:rsidR="00B23D40" w:rsidRPr="00C80645" w:rsidRDefault="00B23D40" w:rsidP="00D5319F">
      <w:pPr>
        <w:pStyle w:val="Overskrift2"/>
      </w:pPr>
      <w:bookmarkStart w:id="6" w:name="_Toc408840267"/>
      <w:bookmarkStart w:id="7" w:name="_Toc409423973"/>
      <w:bookmarkStart w:id="8" w:name="_Toc420068400"/>
      <w:bookmarkEnd w:id="3"/>
      <w:bookmarkEnd w:id="4"/>
      <w:bookmarkEnd w:id="5"/>
      <w:r w:rsidRPr="00C80645">
        <w:t xml:space="preserve">Regional </w:t>
      </w:r>
      <w:r w:rsidR="00EE06C7" w:rsidRPr="00C80645">
        <w:t xml:space="preserve">and local </w:t>
      </w:r>
      <w:r w:rsidRPr="00C80645">
        <w:t>diffusion</w:t>
      </w:r>
      <w:bookmarkEnd w:id="6"/>
      <w:bookmarkEnd w:id="7"/>
      <w:bookmarkEnd w:id="8"/>
    </w:p>
    <w:p w14:paraId="3634DA2C" w14:textId="3723C377" w:rsidR="003346D1" w:rsidRDefault="003346D1" w:rsidP="00B23D40">
      <w:r w:rsidRPr="00C80645">
        <w:t xml:space="preserve">The number of municipalities without BEVs has gone down </w:t>
      </w:r>
      <w:r w:rsidR="005A28DB" w:rsidRPr="00C80645">
        <w:t>rapidly</w:t>
      </w:r>
      <w:r w:rsidR="007932F7">
        <w:t>, see figure 5.</w:t>
      </w:r>
      <w:r w:rsidRPr="00C80645">
        <w:t xml:space="preserve"> Only 5% of the municipalities had no BEVs registered in December 2015. In 2008, none had more than 2% BEVs in the fleet. In December 2015, the share was 24%.</w:t>
      </w:r>
    </w:p>
    <w:p w14:paraId="24A28BEC" w14:textId="77777777" w:rsidR="00650637" w:rsidRPr="00C80645" w:rsidRDefault="00650637" w:rsidP="00B23D40"/>
    <w:p w14:paraId="0ADEB095" w14:textId="77777777" w:rsidR="003346D1" w:rsidRPr="00C80645" w:rsidRDefault="003346D1" w:rsidP="003346D1">
      <w:pPr>
        <w:keepNext/>
      </w:pPr>
      <w:r w:rsidRPr="00C80645">
        <w:rPr>
          <w:noProof/>
          <w:lang w:val="nb-NO" w:eastAsia="nb-NO"/>
        </w:rPr>
        <w:lastRenderedPageBreak/>
        <w:drawing>
          <wp:inline distT="0" distB="0" distL="0" distR="0" wp14:anchorId="247BBD10" wp14:editId="6001C358">
            <wp:extent cx="4621747" cy="2057400"/>
            <wp:effectExtent l="0" t="0" r="762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4873" cy="2063243"/>
                    </a:xfrm>
                    <a:prstGeom prst="rect">
                      <a:avLst/>
                    </a:prstGeom>
                    <a:noFill/>
                  </pic:spPr>
                </pic:pic>
              </a:graphicData>
            </a:graphic>
          </wp:inline>
        </w:drawing>
      </w:r>
    </w:p>
    <w:p w14:paraId="1C29016C" w14:textId="0ECD339F" w:rsidR="003346D1" w:rsidRPr="00C80645" w:rsidRDefault="003346D1" w:rsidP="003346D1">
      <w:pPr>
        <w:pStyle w:val="Bildetekst"/>
        <w:spacing w:after="120"/>
        <w:rPr>
          <w:rFonts w:ascii="Arial" w:hAnsi="Arial" w:cs="Arial"/>
          <w:sz w:val="18"/>
          <w:szCs w:val="16"/>
          <w:lang w:val="en-GB"/>
        </w:rPr>
      </w:pPr>
      <w:r w:rsidRPr="00C80645">
        <w:rPr>
          <w:rFonts w:ascii="Arial" w:hAnsi="Arial" w:cs="Arial"/>
          <w:sz w:val="18"/>
          <w:szCs w:val="16"/>
          <w:lang w:val="en-GB"/>
        </w:rPr>
        <w:t xml:space="preserve">Figure </w:t>
      </w:r>
      <w:r w:rsidR="007932F7">
        <w:rPr>
          <w:rFonts w:ascii="Arial" w:hAnsi="Arial" w:cs="Arial"/>
          <w:sz w:val="18"/>
          <w:szCs w:val="16"/>
          <w:lang w:val="en-GB"/>
        </w:rPr>
        <w:t>5</w:t>
      </w:r>
      <w:r w:rsidRPr="00C80645">
        <w:rPr>
          <w:rFonts w:ascii="Arial" w:hAnsi="Arial" w:cs="Arial"/>
          <w:sz w:val="18"/>
          <w:szCs w:val="16"/>
          <w:lang w:val="en-GB"/>
        </w:rPr>
        <w:t xml:space="preserve"> The expansion of BEVs within 428 municipalities in Norway 2004-2015. Share of BEVs of total fleet 1</w:t>
      </w:r>
      <w:r w:rsidRPr="00C80645">
        <w:rPr>
          <w:rFonts w:ascii="Arial" w:hAnsi="Arial" w:cs="Arial"/>
          <w:sz w:val="18"/>
          <w:szCs w:val="16"/>
          <w:vertAlign w:val="superscript"/>
          <w:lang w:val="en-GB"/>
        </w:rPr>
        <w:t>st</w:t>
      </w:r>
      <w:r w:rsidRPr="00C80645">
        <w:rPr>
          <w:rFonts w:ascii="Arial" w:hAnsi="Arial" w:cs="Arial"/>
          <w:sz w:val="18"/>
          <w:szCs w:val="16"/>
          <w:lang w:val="en-GB"/>
        </w:rPr>
        <w:t xml:space="preserve"> of January each year in intervals. Data from the NPRA</w:t>
      </w:r>
      <w:r w:rsidR="00FF2F6B">
        <w:rPr>
          <w:rFonts w:ascii="Arial" w:hAnsi="Arial" w:cs="Arial"/>
          <w:sz w:val="18"/>
          <w:szCs w:val="16"/>
          <w:lang w:val="en-GB"/>
        </w:rPr>
        <w:t xml:space="preserve"> and the EV association </w:t>
      </w:r>
      <w:r w:rsidRPr="00C80645">
        <w:rPr>
          <w:rFonts w:ascii="Arial" w:hAnsi="Arial" w:cs="Arial"/>
          <w:sz w:val="18"/>
          <w:szCs w:val="16"/>
          <w:lang w:val="en-GB"/>
        </w:rPr>
        <w:t>(2008 – 2014), OFVAS</w:t>
      </w:r>
      <w:r w:rsidR="00FF2F6B">
        <w:rPr>
          <w:rFonts w:ascii="Arial" w:hAnsi="Arial" w:cs="Arial"/>
          <w:sz w:val="18"/>
          <w:szCs w:val="16"/>
          <w:lang w:val="en-GB"/>
        </w:rPr>
        <w:t xml:space="preserve"> (2012, 2014)</w:t>
      </w:r>
      <w:r w:rsidRPr="00C80645">
        <w:rPr>
          <w:rFonts w:ascii="Arial" w:hAnsi="Arial" w:cs="Arial"/>
          <w:sz w:val="18"/>
          <w:szCs w:val="16"/>
          <w:lang w:val="en-GB"/>
        </w:rPr>
        <w:t xml:space="preserve">, Statistics Norway (2004, 2006). </w:t>
      </w:r>
    </w:p>
    <w:p w14:paraId="47E0D4CF" w14:textId="78AB096C" w:rsidR="00725BAE" w:rsidRPr="00C80645" w:rsidRDefault="007932F7" w:rsidP="00725BAE">
      <w:pPr>
        <w:rPr>
          <w:lang w:eastAsia="nb-NO"/>
        </w:rPr>
      </w:pPr>
      <w:r>
        <w:t>T</w:t>
      </w:r>
      <w:r w:rsidRPr="00C80645">
        <w:t xml:space="preserve">he diffusion started in cities and their neighbouring municipalities and then spread radially further out. </w:t>
      </w:r>
      <w:r w:rsidR="00ED71C0" w:rsidRPr="00C80645">
        <w:t xml:space="preserve">The diffusion </w:t>
      </w:r>
      <w:r w:rsidR="00725BAE">
        <w:t xml:space="preserve">pattern </w:t>
      </w:r>
      <w:r w:rsidR="00ED71C0" w:rsidRPr="00C80645">
        <w:t>of BEVS is clearly visible with increasingly larger circles of high BEV density of municipalities around Oslo</w:t>
      </w:r>
      <w:r w:rsidR="00ED71C0">
        <w:t xml:space="preserve">. </w:t>
      </w:r>
      <w:r w:rsidR="00ED71C0" w:rsidRPr="00C80645">
        <w:t xml:space="preserve">This pattern is </w:t>
      </w:r>
      <w:r w:rsidR="00ED71C0">
        <w:t xml:space="preserve">also </w:t>
      </w:r>
      <w:r w:rsidR="00ED71C0" w:rsidRPr="00C80645">
        <w:t xml:space="preserve">discernible around the other Norwegian cities. </w:t>
      </w:r>
      <w:r w:rsidR="00725BAE">
        <w:t xml:space="preserve">The six largest cities in Norway had a BEV fleet share from 4 – 6% in 2015. </w:t>
      </w:r>
      <w:r w:rsidR="00725BAE" w:rsidRPr="00C80645">
        <w:t xml:space="preserve">An increase in the adoption rate also occurred within each municipality, as seen in figure </w:t>
      </w:r>
      <w:r w:rsidR="00725BAE">
        <w:t>6</w:t>
      </w:r>
      <w:r w:rsidR="00725BAE" w:rsidRPr="00C80645">
        <w:t xml:space="preserve">. </w:t>
      </w:r>
    </w:p>
    <w:p w14:paraId="1AA1C40E" w14:textId="77777777" w:rsidR="00B23D40" w:rsidRPr="00C80645" w:rsidRDefault="00273926" w:rsidP="00B23D40">
      <w:pPr>
        <w:keepNext/>
      </w:pPr>
      <w:r w:rsidRPr="00C80645">
        <w:rPr>
          <w:noProof/>
          <w:lang w:val="nb-NO" w:eastAsia="nb-NO"/>
        </w:rPr>
        <w:drawing>
          <wp:inline distT="0" distB="0" distL="0" distR="0" wp14:anchorId="30CF18FC" wp14:editId="10AE7D18">
            <wp:extent cx="5116749" cy="2676729"/>
            <wp:effectExtent l="0" t="0" r="8255"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166" t="8922" r="14023" b="6126"/>
                    <a:stretch/>
                  </pic:blipFill>
                  <pic:spPr bwMode="auto">
                    <a:xfrm>
                      <a:off x="0" y="0"/>
                      <a:ext cx="5166246" cy="2702623"/>
                    </a:xfrm>
                    <a:prstGeom prst="rect">
                      <a:avLst/>
                    </a:prstGeom>
                    <a:ln>
                      <a:noFill/>
                    </a:ln>
                    <a:extLst>
                      <a:ext uri="{53640926-AAD7-44D8-BBD7-CCE9431645EC}">
                        <a14:shadowObscured xmlns:a14="http://schemas.microsoft.com/office/drawing/2010/main"/>
                      </a:ext>
                    </a:extLst>
                  </pic:spPr>
                </pic:pic>
              </a:graphicData>
            </a:graphic>
          </wp:inline>
        </w:drawing>
      </w:r>
    </w:p>
    <w:p w14:paraId="4AEAFE2A" w14:textId="72FDD752" w:rsidR="00B23D40" w:rsidRPr="00C80645" w:rsidRDefault="00B23D40" w:rsidP="00B23D40">
      <w:pPr>
        <w:pStyle w:val="Bildetekst"/>
        <w:spacing w:after="120"/>
        <w:rPr>
          <w:rFonts w:ascii="Arial" w:hAnsi="Arial" w:cs="Arial"/>
          <w:sz w:val="18"/>
          <w:lang w:val="en-GB"/>
        </w:rPr>
      </w:pPr>
      <w:r w:rsidRPr="00C80645">
        <w:rPr>
          <w:rFonts w:ascii="Arial" w:hAnsi="Arial" w:cs="Arial"/>
          <w:sz w:val="18"/>
          <w:lang w:val="en-GB"/>
        </w:rPr>
        <w:t xml:space="preserve">Figure </w:t>
      </w:r>
      <w:r w:rsidR="004659BD">
        <w:rPr>
          <w:rFonts w:ascii="Arial" w:hAnsi="Arial" w:cs="Arial"/>
          <w:sz w:val="18"/>
          <w:lang w:val="en-GB"/>
        </w:rPr>
        <w:t>6</w:t>
      </w:r>
      <w:r w:rsidRPr="00C80645">
        <w:rPr>
          <w:rFonts w:ascii="Arial" w:hAnsi="Arial" w:cs="Arial"/>
          <w:sz w:val="18"/>
          <w:lang w:val="en-GB"/>
        </w:rPr>
        <w:t xml:space="preserve"> Geographical diffusion of BEVs in Norway’s 428 municipalities 2008-20</w:t>
      </w:r>
      <w:r w:rsidR="008875AF" w:rsidRPr="00C80645">
        <w:rPr>
          <w:rFonts w:ascii="Arial" w:hAnsi="Arial" w:cs="Arial"/>
          <w:sz w:val="18"/>
          <w:lang w:val="en-GB"/>
        </w:rPr>
        <w:t>15</w:t>
      </w:r>
      <w:r w:rsidR="00286A08" w:rsidRPr="00C80645">
        <w:rPr>
          <w:rFonts w:ascii="Arial" w:hAnsi="Arial" w:cs="Arial"/>
          <w:sz w:val="18"/>
          <w:lang w:val="en-GB"/>
        </w:rPr>
        <w:t>,)</w:t>
      </w:r>
      <w:r w:rsidRPr="00C80645">
        <w:rPr>
          <w:rFonts w:ascii="Arial" w:hAnsi="Arial" w:cs="Arial"/>
          <w:sz w:val="18"/>
          <w:lang w:val="en-GB"/>
        </w:rPr>
        <w:t>. Share of BEV in total fleet. Made by authors with data</w:t>
      </w:r>
      <w:r w:rsidRPr="00C80645">
        <w:rPr>
          <w:rFonts w:ascii="Arial" w:hAnsi="Arial" w:cs="Arial"/>
          <w:i w:val="0"/>
          <w:sz w:val="18"/>
          <w:lang w:val="en-GB"/>
        </w:rPr>
        <w:t xml:space="preserve"> </w:t>
      </w:r>
      <w:r w:rsidRPr="00C80645">
        <w:rPr>
          <w:rFonts w:ascii="Arial" w:hAnsi="Arial" w:cs="Arial"/>
          <w:sz w:val="18"/>
          <w:lang w:val="en-GB"/>
        </w:rPr>
        <w:t>from the Norwegian Public Roads Administration and the EV association, OFVAS (201</w:t>
      </w:r>
      <w:r w:rsidR="008875AF" w:rsidRPr="00C80645">
        <w:rPr>
          <w:rFonts w:ascii="Arial" w:hAnsi="Arial" w:cs="Arial"/>
          <w:sz w:val="18"/>
          <w:lang w:val="en-GB"/>
        </w:rPr>
        <w:t>6</w:t>
      </w:r>
      <w:r w:rsidRPr="00C80645">
        <w:rPr>
          <w:rFonts w:ascii="Arial" w:hAnsi="Arial" w:cs="Arial"/>
          <w:sz w:val="18"/>
          <w:lang w:val="en-GB"/>
        </w:rPr>
        <w:t>), Statistics Norway (201</w:t>
      </w:r>
      <w:r w:rsidR="008875AF" w:rsidRPr="00C80645">
        <w:rPr>
          <w:rFonts w:ascii="Arial" w:hAnsi="Arial" w:cs="Arial"/>
          <w:sz w:val="18"/>
          <w:lang w:val="en-GB"/>
        </w:rPr>
        <w:t>6</w:t>
      </w:r>
      <w:r w:rsidRPr="00C80645">
        <w:rPr>
          <w:rFonts w:ascii="Arial" w:hAnsi="Arial" w:cs="Arial"/>
          <w:sz w:val="18"/>
          <w:lang w:val="en-GB"/>
        </w:rPr>
        <w:t xml:space="preserve">). </w:t>
      </w:r>
    </w:p>
    <w:p w14:paraId="324D035F" w14:textId="77777777" w:rsidR="00607475" w:rsidRPr="00C80645" w:rsidRDefault="00607475" w:rsidP="005B375B">
      <w:pPr>
        <w:rPr>
          <w:lang w:eastAsia="nb-NO"/>
        </w:rPr>
      </w:pPr>
      <w:bookmarkStart w:id="9" w:name="_Toc408840268"/>
      <w:bookmarkStart w:id="10" w:name="_Toc409423974"/>
      <w:bookmarkStart w:id="11" w:name="_Toc420068401"/>
    </w:p>
    <w:p w14:paraId="236D1E82" w14:textId="7A5E7E3A" w:rsidR="00725BAE" w:rsidRDefault="00725BAE" w:rsidP="00725BAE">
      <w:pPr>
        <w:rPr>
          <w:lang w:eastAsia="nb-NO"/>
        </w:rPr>
      </w:pPr>
      <w:r w:rsidRPr="00C80645">
        <w:rPr>
          <w:lang w:eastAsia="nb-NO"/>
        </w:rPr>
        <w:t xml:space="preserve">The top three adopting municipalities are areas with expensive toll roads </w:t>
      </w:r>
      <w:r>
        <w:rPr>
          <w:lang w:eastAsia="nb-NO"/>
        </w:rPr>
        <w:t xml:space="preserve">related to underwater tunnels </w:t>
      </w:r>
      <w:r w:rsidRPr="00C80645">
        <w:rPr>
          <w:lang w:eastAsia="nb-NO"/>
        </w:rPr>
        <w:t xml:space="preserve">and thus substantial savings for BEV owners. </w:t>
      </w:r>
      <w:r>
        <w:rPr>
          <w:lang w:eastAsia="nb-NO"/>
        </w:rPr>
        <w:t xml:space="preserve">Their fleet </w:t>
      </w:r>
      <w:r>
        <w:t>rates vary from 10 – 17%. An example is</w:t>
      </w:r>
      <w:r w:rsidRPr="00C80645">
        <w:t xml:space="preserve"> Finnøy, the first municipality to reach 10% adoption</w:t>
      </w:r>
      <w:r>
        <w:t xml:space="preserve"> and a 2015 fleet rate of 17%</w:t>
      </w:r>
      <w:r w:rsidRPr="00C80645">
        <w:t>. BEV owners there can save up to 30 000 NOK per year in reduced toll road costs.</w:t>
      </w:r>
      <w:r>
        <w:t xml:space="preserve"> </w:t>
      </w:r>
      <w:r w:rsidRPr="00C80645">
        <w:rPr>
          <w:lang w:eastAsia="nb-NO"/>
        </w:rPr>
        <w:t xml:space="preserve">The </w:t>
      </w:r>
      <w:r>
        <w:rPr>
          <w:lang w:eastAsia="nb-NO"/>
        </w:rPr>
        <w:t>next</w:t>
      </w:r>
      <w:r w:rsidRPr="00C80645">
        <w:rPr>
          <w:lang w:eastAsia="nb-NO"/>
        </w:rPr>
        <w:t xml:space="preserve"> six</w:t>
      </w:r>
      <w:r>
        <w:rPr>
          <w:lang w:eastAsia="nb-NO"/>
        </w:rPr>
        <w:t xml:space="preserve"> municipalities</w:t>
      </w:r>
      <w:r w:rsidRPr="00C80645">
        <w:rPr>
          <w:lang w:eastAsia="nb-NO"/>
        </w:rPr>
        <w:t xml:space="preserve"> on the</w:t>
      </w:r>
      <w:r>
        <w:rPr>
          <w:lang w:eastAsia="nb-NO"/>
        </w:rPr>
        <w:t xml:space="preserve"> top 10</w:t>
      </w:r>
      <w:r w:rsidRPr="00C80645">
        <w:rPr>
          <w:lang w:eastAsia="nb-NO"/>
        </w:rPr>
        <w:t xml:space="preserve"> list </w:t>
      </w:r>
      <w:r>
        <w:t xml:space="preserve">consists of </w:t>
      </w:r>
      <w:r w:rsidRPr="00C80645">
        <w:rPr>
          <w:lang w:eastAsia="nb-NO"/>
        </w:rPr>
        <w:t>typical suburbs around cities where people commute through toll rings and can use bus lanes.</w:t>
      </w:r>
      <w:r>
        <w:rPr>
          <w:lang w:eastAsia="nb-NO"/>
        </w:rPr>
        <w:t xml:space="preserve"> The only city on the </w:t>
      </w:r>
      <w:r w:rsidR="00D83599">
        <w:rPr>
          <w:lang w:eastAsia="nb-NO"/>
        </w:rPr>
        <w:t xml:space="preserve">top ten </w:t>
      </w:r>
      <w:r>
        <w:rPr>
          <w:lang w:eastAsia="nb-NO"/>
        </w:rPr>
        <w:t>list, Berge</w:t>
      </w:r>
      <w:r w:rsidR="00D83599">
        <w:rPr>
          <w:lang w:eastAsia="nb-NO"/>
        </w:rPr>
        <w:t>n</w:t>
      </w:r>
      <w:r>
        <w:rPr>
          <w:lang w:eastAsia="nb-NO"/>
        </w:rPr>
        <w:t>, the second largest city in Norway,</w:t>
      </w:r>
      <w:r w:rsidRPr="00704DA1">
        <w:rPr>
          <w:lang w:eastAsia="nb-NO"/>
        </w:rPr>
        <w:t xml:space="preserve"> </w:t>
      </w:r>
      <w:r>
        <w:rPr>
          <w:lang w:eastAsia="nb-NO"/>
        </w:rPr>
        <w:t>is on 10</w:t>
      </w:r>
      <w:r w:rsidRPr="00E269C3">
        <w:rPr>
          <w:vertAlign w:val="superscript"/>
          <w:lang w:eastAsia="nb-NO"/>
        </w:rPr>
        <w:t>th</w:t>
      </w:r>
      <w:r>
        <w:rPr>
          <w:lang w:eastAsia="nb-NO"/>
        </w:rPr>
        <w:t xml:space="preserve"> place. </w:t>
      </w:r>
    </w:p>
    <w:p w14:paraId="2C381F58" w14:textId="77777777" w:rsidR="00725BAE" w:rsidRDefault="00725BAE" w:rsidP="00725BAE">
      <w:pPr>
        <w:rPr>
          <w:lang w:eastAsia="nb-NO"/>
        </w:rPr>
      </w:pPr>
    </w:p>
    <w:p w14:paraId="3FA06FA1" w14:textId="645760F2" w:rsidR="00725BAE" w:rsidRDefault="00725BAE" w:rsidP="00607475">
      <w:pPr>
        <w:pStyle w:val="Merknadstekst"/>
        <w:rPr>
          <w:lang w:eastAsia="nb-NO"/>
        </w:rPr>
      </w:pPr>
      <w:r w:rsidRPr="00C80645">
        <w:rPr>
          <w:lang w:eastAsia="nb-NO"/>
        </w:rPr>
        <w:t xml:space="preserve">The regional diffusion seems to have been at </w:t>
      </w:r>
      <w:r>
        <w:rPr>
          <w:lang w:eastAsia="nb-NO"/>
        </w:rPr>
        <w:t>step</w:t>
      </w:r>
      <w:r w:rsidRPr="00C80645">
        <w:rPr>
          <w:lang w:eastAsia="nb-NO"/>
        </w:rPr>
        <w:t xml:space="preserve"> 1 up to 2010 and </w:t>
      </w:r>
      <w:r>
        <w:rPr>
          <w:lang w:eastAsia="nb-NO"/>
        </w:rPr>
        <w:t>step 2 from 2011-2014</w:t>
      </w:r>
      <w:r w:rsidRPr="00C80645">
        <w:rPr>
          <w:lang w:eastAsia="nb-NO"/>
        </w:rPr>
        <w:t xml:space="preserve">, </w:t>
      </w:r>
      <w:r>
        <w:rPr>
          <w:lang w:eastAsia="nb-NO"/>
        </w:rPr>
        <w:t xml:space="preserve">potentially </w:t>
      </w:r>
      <w:r w:rsidRPr="00C80645">
        <w:rPr>
          <w:lang w:eastAsia="nb-NO"/>
        </w:rPr>
        <w:t xml:space="preserve">reaching </w:t>
      </w:r>
      <w:r>
        <w:rPr>
          <w:lang w:eastAsia="nb-NO"/>
        </w:rPr>
        <w:t>into step 3 from 2015</w:t>
      </w:r>
      <w:r w:rsidRPr="00C80645">
        <w:rPr>
          <w:lang w:eastAsia="nb-NO"/>
        </w:rPr>
        <w:t>-2016.</w:t>
      </w:r>
    </w:p>
    <w:p w14:paraId="7876D773" w14:textId="77777777" w:rsidR="00725BAE" w:rsidRDefault="00725BAE" w:rsidP="00607475">
      <w:pPr>
        <w:pStyle w:val="Merknadstekst"/>
      </w:pPr>
    </w:p>
    <w:p w14:paraId="4F8730DF" w14:textId="1FC6FC7E" w:rsidR="00607475" w:rsidRDefault="00607475" w:rsidP="00607475">
      <w:pPr>
        <w:pStyle w:val="Merknadstekst"/>
      </w:pPr>
      <w:r w:rsidRPr="00C80645">
        <w:t xml:space="preserve">BEV density by postal code zone is shown for Oslo, Bærum and Asker in figure </w:t>
      </w:r>
      <w:r w:rsidR="00D83599">
        <w:t>7</w:t>
      </w:r>
      <w:r w:rsidRPr="00C80645">
        <w:t xml:space="preserve">. </w:t>
      </w:r>
      <w:r w:rsidR="005A28DB" w:rsidRPr="00C80645">
        <w:t>The density is highest, up to 45%, in postal zone</w:t>
      </w:r>
      <w:r w:rsidR="00FE2B44">
        <w:t>s</w:t>
      </w:r>
      <w:r w:rsidR="005A28DB" w:rsidRPr="00C80645">
        <w:t xml:space="preserve"> with</w:t>
      </w:r>
      <w:r w:rsidR="00D5319F" w:rsidRPr="00C80645">
        <w:t xml:space="preserve"> BEV dealers</w:t>
      </w:r>
      <w:r w:rsidR="00725BAE">
        <w:t xml:space="preserve"> and few inhabitants</w:t>
      </w:r>
      <w:r w:rsidR="005A28DB" w:rsidRPr="00C80645">
        <w:t xml:space="preserve">. </w:t>
      </w:r>
      <w:r w:rsidRPr="00C80645">
        <w:t xml:space="preserve">BEV densities are </w:t>
      </w:r>
      <w:r w:rsidR="00725BAE">
        <w:t xml:space="preserve">otherwise </w:t>
      </w:r>
      <w:r w:rsidRPr="00C80645">
        <w:t>high</w:t>
      </w:r>
      <w:r w:rsidR="00725BAE">
        <w:t>er</w:t>
      </w:r>
      <w:r w:rsidRPr="00C80645">
        <w:t xml:space="preserve"> in areas with high income, long distances to Oslo, </w:t>
      </w:r>
      <w:r w:rsidR="00E755C4" w:rsidRPr="00C80645">
        <w:t xml:space="preserve">and </w:t>
      </w:r>
      <w:r w:rsidRPr="00C80645">
        <w:t xml:space="preserve">where </w:t>
      </w:r>
      <w:r w:rsidRPr="00C80645">
        <w:lastRenderedPageBreak/>
        <w:t>driving in the bus lane is an advantage</w:t>
      </w:r>
      <w:r w:rsidR="00725BAE">
        <w:t xml:space="preserve">, and </w:t>
      </w:r>
      <w:r w:rsidR="00A77CA7" w:rsidRPr="00C80645">
        <w:t xml:space="preserve">in zones </w:t>
      </w:r>
      <w:r w:rsidRPr="00C80645">
        <w:t>outside the toll-road ring</w:t>
      </w:r>
      <w:r w:rsidR="00D5319F" w:rsidRPr="00C80645">
        <w:t xml:space="preserve"> around Oslo </w:t>
      </w:r>
      <w:r w:rsidRPr="00C80645">
        <w:t xml:space="preserve">or far away from metro </w:t>
      </w:r>
      <w:r w:rsidR="00D5319F" w:rsidRPr="00C80645">
        <w:t>and</w:t>
      </w:r>
      <w:r w:rsidRPr="00C80645">
        <w:t xml:space="preserve"> train lines. Low BEV densities are seen where households have metro or train </w:t>
      </w:r>
      <w:r w:rsidR="00D5319F" w:rsidRPr="00C80645">
        <w:t xml:space="preserve">lines </w:t>
      </w:r>
      <w:r w:rsidRPr="00C80645">
        <w:t>closely available, no bus lane</w:t>
      </w:r>
      <w:r w:rsidR="00D5319F" w:rsidRPr="00C80645">
        <w:t>s,</w:t>
      </w:r>
      <w:r w:rsidRPr="00C80645">
        <w:t xml:space="preserve"> and</w:t>
      </w:r>
      <w:r w:rsidR="00D5319F" w:rsidRPr="00C80645">
        <w:t xml:space="preserve"> those located</w:t>
      </w:r>
      <w:r w:rsidRPr="00C80645">
        <w:t xml:space="preserve"> inside the toll-road ring</w:t>
      </w:r>
      <w:r w:rsidR="00D5319F" w:rsidRPr="00C80645">
        <w:t xml:space="preserve"> where </w:t>
      </w:r>
      <w:r w:rsidRPr="00C80645">
        <w:t>private parking facilities, may be a limiting factor</w:t>
      </w:r>
      <w:r w:rsidR="00FE2B44">
        <w:t>, (</w:t>
      </w:r>
      <w:r w:rsidR="00AB0C94">
        <w:t>Figenbaum</w:t>
      </w:r>
      <w:r w:rsidR="00FE2B44">
        <w:t xml:space="preserve"> </w:t>
      </w:r>
      <w:r w:rsidR="00DA268B">
        <w:t>and Kolbenstvedt (2015a</w:t>
      </w:r>
      <w:r w:rsidR="00D5319F" w:rsidRPr="00C80645">
        <w:t>)</w:t>
      </w:r>
      <w:r w:rsidRPr="00C80645">
        <w:t>.</w:t>
      </w:r>
    </w:p>
    <w:p w14:paraId="106AC14B" w14:textId="77777777" w:rsidR="00FE2B44" w:rsidRPr="00C80645" w:rsidRDefault="00FE2B44" w:rsidP="00607475">
      <w:pPr>
        <w:pStyle w:val="Merknadstekst"/>
      </w:pPr>
    </w:p>
    <w:p w14:paraId="6A860B66" w14:textId="77777777" w:rsidR="00607475" w:rsidRPr="00C80645" w:rsidRDefault="00607475" w:rsidP="00607475">
      <w:pPr>
        <w:pStyle w:val="Merknadstekst"/>
        <w:spacing w:after="120"/>
        <w:rPr>
          <w:sz w:val="24"/>
          <w:szCs w:val="24"/>
        </w:rPr>
      </w:pPr>
      <w:r w:rsidRPr="00C80645">
        <w:rPr>
          <w:noProof/>
          <w:lang w:val="nb-NO" w:eastAsia="nb-NO"/>
        </w:rPr>
        <w:drawing>
          <wp:inline distT="0" distB="0" distL="0" distR="0" wp14:anchorId="33698297" wp14:editId="71C3ACE6">
            <wp:extent cx="3002072" cy="2671120"/>
            <wp:effectExtent l="0" t="0" r="8255"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5925" cy="2692343"/>
                    </a:xfrm>
                    <a:prstGeom prst="rect">
                      <a:avLst/>
                    </a:prstGeom>
                    <a:noFill/>
                  </pic:spPr>
                </pic:pic>
              </a:graphicData>
            </a:graphic>
          </wp:inline>
        </w:drawing>
      </w:r>
    </w:p>
    <w:p w14:paraId="337027E4" w14:textId="67835361" w:rsidR="00607475" w:rsidRPr="00C80645" w:rsidRDefault="00607475" w:rsidP="00607475">
      <w:pPr>
        <w:pStyle w:val="Merknadstekst"/>
        <w:spacing w:before="240"/>
        <w:rPr>
          <w:sz w:val="18"/>
          <w:szCs w:val="16"/>
        </w:rPr>
      </w:pPr>
      <w:r w:rsidRPr="00C80645">
        <w:rPr>
          <w:i/>
          <w:sz w:val="18"/>
          <w:szCs w:val="16"/>
        </w:rPr>
        <w:t xml:space="preserve">Figure </w:t>
      </w:r>
      <w:r w:rsidR="004659BD">
        <w:rPr>
          <w:i/>
          <w:sz w:val="18"/>
          <w:szCs w:val="16"/>
        </w:rPr>
        <w:t>7</w:t>
      </w:r>
      <w:r w:rsidRPr="00C80645">
        <w:rPr>
          <w:i/>
          <w:sz w:val="18"/>
          <w:szCs w:val="16"/>
        </w:rPr>
        <w:t xml:space="preserve"> BEV density (BEVs per 1000 vehicles) by postal code zones in Oslo, Asker and Bærum. Yellow lines mark the toll ring around Oslo and the toll gates between Oslo and Bærum. Red lines are the metro network, dark red the main train lines, purple is main roads. </w:t>
      </w:r>
      <w:r w:rsidR="00DA268B">
        <w:rPr>
          <w:i/>
          <w:sz w:val="18"/>
          <w:szCs w:val="16"/>
        </w:rPr>
        <w:t xml:space="preserve">Figure from Figenbaum and Kolbenstvedt 2015a, </w:t>
      </w:r>
      <w:r w:rsidRPr="00C80645">
        <w:rPr>
          <w:i/>
          <w:sz w:val="18"/>
          <w:szCs w:val="16"/>
        </w:rPr>
        <w:t>Data from the NPRA and the EV association (2008-2014)</w:t>
      </w:r>
      <w:r w:rsidRPr="00C80645">
        <w:rPr>
          <w:sz w:val="18"/>
          <w:szCs w:val="16"/>
        </w:rPr>
        <w:t xml:space="preserve">. </w:t>
      </w:r>
    </w:p>
    <w:p w14:paraId="70B71584" w14:textId="77777777" w:rsidR="00B23D40" w:rsidRPr="00C80645" w:rsidRDefault="00B23D40" w:rsidP="00EE06C7">
      <w:pPr>
        <w:pStyle w:val="Overskrift2"/>
      </w:pPr>
      <w:bookmarkStart w:id="12" w:name="_Toc408840271"/>
      <w:bookmarkStart w:id="13" w:name="_Toc409423977"/>
      <w:bookmarkStart w:id="14" w:name="_Toc420068404"/>
      <w:bookmarkEnd w:id="9"/>
      <w:bookmarkEnd w:id="10"/>
      <w:bookmarkEnd w:id="11"/>
      <w:r w:rsidRPr="00C80645">
        <w:t>BEV owners, coming buyers and non-buyers</w:t>
      </w:r>
      <w:bookmarkEnd w:id="12"/>
      <w:bookmarkEnd w:id="13"/>
      <w:bookmarkEnd w:id="14"/>
    </w:p>
    <w:p w14:paraId="3AC151EE" w14:textId="4D7FF6FE" w:rsidR="00D5319F" w:rsidRPr="00C80645" w:rsidRDefault="00B23D40" w:rsidP="00A77CA7">
      <w:r w:rsidRPr="00C80645">
        <w:t xml:space="preserve">Studies of early adopters of BEVs indicate common socio-demographic characteristics across countries (Hjorthol </w:t>
      </w:r>
      <w:r w:rsidR="00FE2B44">
        <w:t xml:space="preserve">2013, Hjorthol et al </w:t>
      </w:r>
      <w:r w:rsidRPr="00C80645">
        <w:t>2014, Figenbaum &amp; Kolbenstvedt, 2013</w:t>
      </w:r>
      <w:r w:rsidR="00FE2B44">
        <w:t xml:space="preserve">, </w:t>
      </w:r>
      <w:r w:rsidR="00FE2B44" w:rsidRPr="00C80645">
        <w:t>Figenbaum</w:t>
      </w:r>
      <w:r w:rsidR="00FE2B44">
        <w:t xml:space="preserve"> et al</w:t>
      </w:r>
      <w:r w:rsidR="00FE2B44" w:rsidRPr="00C80645">
        <w:t xml:space="preserve"> 2014, Figenbaum </w:t>
      </w:r>
      <w:r w:rsidR="00FE2B44">
        <w:t>&amp;</w:t>
      </w:r>
      <w:r w:rsidR="00FE2B44" w:rsidRPr="00C80645">
        <w:t xml:space="preserve"> Kolbenstvedt 2016</w:t>
      </w:r>
      <w:r w:rsidRPr="00C80645">
        <w:t>). The early adopters are relatively young, a majority are men, having high education and income</w:t>
      </w:r>
      <w:r w:rsidR="00725BAE">
        <w:t>,</w:t>
      </w:r>
      <w:r w:rsidRPr="00C80645">
        <w:t xml:space="preserve"> belonging to households with more than one car in </w:t>
      </w:r>
      <w:r w:rsidR="00704DA1">
        <w:t>or in vicinity of larger cities</w:t>
      </w:r>
      <w:r w:rsidRPr="00C80645">
        <w:t xml:space="preserve">). </w:t>
      </w:r>
      <w:r w:rsidR="00A77CA7" w:rsidRPr="00C80645">
        <w:t>They have</w:t>
      </w:r>
      <w:r w:rsidRPr="00C80645">
        <w:t xml:space="preserve"> large transportation needs, </w:t>
      </w:r>
      <w:r w:rsidR="00A77CA7" w:rsidRPr="00C80645">
        <w:t>with</w:t>
      </w:r>
      <w:r w:rsidRPr="00C80645">
        <w:t xml:space="preserve"> children under age 18</w:t>
      </w:r>
      <w:r w:rsidR="00A77CA7" w:rsidRPr="00C80645">
        <w:t xml:space="preserve"> living in the household</w:t>
      </w:r>
      <w:r w:rsidR="0099457D">
        <w:t>,</w:t>
      </w:r>
      <w:r w:rsidRPr="00C80645">
        <w:t xml:space="preserve"> and longer than average distances to work</w:t>
      </w:r>
      <w:r w:rsidR="00E755C4" w:rsidRPr="00C80645">
        <w:t xml:space="preserve"> (</w:t>
      </w:r>
      <w:r w:rsidR="00A77CA7" w:rsidRPr="00C80645">
        <w:t>Ibid</w:t>
      </w:r>
      <w:r w:rsidR="00E755C4" w:rsidRPr="00C80645">
        <w:t>)</w:t>
      </w:r>
      <w:r w:rsidRPr="00C80645">
        <w:t>. Working, highly educated, and well off, they have a positive perception of BEV technology</w:t>
      </w:r>
      <w:r w:rsidR="00E755C4" w:rsidRPr="00C80645">
        <w:t xml:space="preserve"> p</w:t>
      </w:r>
      <w:r w:rsidRPr="00C80645">
        <w:t xml:space="preserve">laying down the disadvantages </w:t>
      </w:r>
      <w:r w:rsidR="00D5319F" w:rsidRPr="00C80645">
        <w:t xml:space="preserve">and seeing </w:t>
      </w:r>
      <w:r w:rsidRPr="00C80645">
        <w:t>the advantages of BEVs. In total, they do not differ much from other multi-vehicle household</w:t>
      </w:r>
      <w:r w:rsidR="00A77CA7" w:rsidRPr="00C80645">
        <w:t>s in socio-demographics (Ibid)</w:t>
      </w:r>
      <w:r w:rsidRPr="00C80645">
        <w:t>.</w:t>
      </w:r>
      <w:r w:rsidR="008375F0" w:rsidRPr="00C80645">
        <w:t xml:space="preserve"> </w:t>
      </w:r>
    </w:p>
    <w:p w14:paraId="2570DD5F" w14:textId="77777777" w:rsidR="00E755C4" w:rsidRPr="00C80645" w:rsidRDefault="00E755C4" w:rsidP="008375F0"/>
    <w:p w14:paraId="75E94B0B" w14:textId="196F78A3" w:rsidR="00B23D40" w:rsidRPr="00C80645" w:rsidRDefault="00B23D40" w:rsidP="00B23D40">
      <w:r w:rsidRPr="00C80645">
        <w:t>ICE</w:t>
      </w:r>
      <w:r w:rsidR="0099457D">
        <w:t>V</w:t>
      </w:r>
      <w:r w:rsidRPr="00C80645">
        <w:t xml:space="preserve"> owners stating that they will not buy an BEV, are older, have lower education, fewer children, lower income, and a lower employment rate</w:t>
      </w:r>
      <w:r w:rsidR="00E755C4" w:rsidRPr="00C80645">
        <w:t xml:space="preserve"> (Figenbaum</w:t>
      </w:r>
      <w:r w:rsidR="00FE2B44">
        <w:t xml:space="preserve"> et al</w:t>
      </w:r>
      <w:r w:rsidR="00E755C4" w:rsidRPr="00C80645">
        <w:t xml:space="preserve"> Elvebakk 2014</w:t>
      </w:r>
      <w:r w:rsidR="00A77CA7" w:rsidRPr="00C80645">
        <w:t xml:space="preserve">, Figenbaum </w:t>
      </w:r>
      <w:r w:rsidR="00FE2B44">
        <w:t>&amp;</w:t>
      </w:r>
      <w:r w:rsidR="00A77CA7" w:rsidRPr="00C80645">
        <w:t xml:space="preserve"> Kolbenstvedt 2016</w:t>
      </w:r>
      <w:r w:rsidR="00E755C4" w:rsidRPr="00C80645">
        <w:t>)</w:t>
      </w:r>
      <w:r w:rsidRPr="00C80645">
        <w:t xml:space="preserve">. Fewer are multi-vehicle owners, and they have a </w:t>
      </w:r>
      <w:r w:rsidR="0099457D">
        <w:t xml:space="preserve">more </w:t>
      </w:r>
      <w:r w:rsidRPr="00C80645">
        <w:t xml:space="preserve">negative </w:t>
      </w:r>
      <w:r w:rsidR="0099457D">
        <w:t>opinion about BEVs</w:t>
      </w:r>
      <w:r w:rsidRPr="00C80645">
        <w:t xml:space="preserve"> compared to car owners at large. Those stating t</w:t>
      </w:r>
      <w:r w:rsidR="00E755C4" w:rsidRPr="00C80645">
        <w:t>hat they will consider</w:t>
      </w:r>
      <w:r w:rsidR="00A77CA7" w:rsidRPr="00C80645">
        <w:t xml:space="preserve"> buying a BEV</w:t>
      </w:r>
      <w:r w:rsidRPr="00C80645">
        <w:t xml:space="preserve">, are </w:t>
      </w:r>
      <w:r w:rsidR="004659BD">
        <w:t xml:space="preserve">found </w:t>
      </w:r>
      <w:r w:rsidRPr="00C80645">
        <w:t>somewhere between the BEV owners and those who will not consider BEVs in socio-economic background (</w:t>
      </w:r>
      <w:r w:rsidR="00E755C4" w:rsidRPr="00C80645">
        <w:t>Ibid</w:t>
      </w:r>
      <w:r w:rsidRPr="00C80645">
        <w:t xml:space="preserve">). </w:t>
      </w:r>
      <w:r w:rsidR="004659BD">
        <w:t>T</w:t>
      </w:r>
      <w:r w:rsidRPr="00C80645">
        <w:t xml:space="preserve">he largest potential for further diffusion lies in the early majority, </w:t>
      </w:r>
      <w:r w:rsidR="00704DA1">
        <w:t>i.e. persons who</w:t>
      </w:r>
      <w:r w:rsidRPr="00C80645">
        <w:t xml:space="preserve"> consider buying an BEV </w:t>
      </w:r>
      <w:r w:rsidR="00E755C4" w:rsidRPr="00C80645">
        <w:t>or have not</w:t>
      </w:r>
      <w:r w:rsidRPr="00C80645">
        <w:t xml:space="preserve"> made up their minds</w:t>
      </w:r>
      <w:r w:rsidR="004659BD">
        <w:t>. Those</w:t>
      </w:r>
      <w:r w:rsidRPr="00C80645">
        <w:t xml:space="preserve">, who </w:t>
      </w:r>
      <w:r w:rsidR="0099457D">
        <w:t>will</w:t>
      </w:r>
      <w:r w:rsidRPr="00C80645">
        <w:t xml:space="preserve"> not consider </w:t>
      </w:r>
      <w:r w:rsidR="00E755C4" w:rsidRPr="00C80645">
        <w:t>BEVs</w:t>
      </w:r>
      <w:r w:rsidR="004659BD">
        <w:t xml:space="preserve">, constitute the </w:t>
      </w:r>
      <w:r w:rsidR="004659BD" w:rsidRPr="00C80645">
        <w:t>late majority</w:t>
      </w:r>
      <w:r w:rsidR="004659BD">
        <w:t xml:space="preserve"> </w:t>
      </w:r>
      <w:r w:rsidR="0099457D">
        <w:t>and</w:t>
      </w:r>
      <w:r w:rsidR="004659BD">
        <w:t xml:space="preserve"> laggards</w:t>
      </w:r>
      <w:r w:rsidRPr="00C80645">
        <w:t>.</w:t>
      </w:r>
    </w:p>
    <w:p w14:paraId="5F11C43E" w14:textId="77777777" w:rsidR="003E6B33" w:rsidRPr="00C80645" w:rsidRDefault="003E6B33" w:rsidP="003E6B33">
      <w:pPr>
        <w:pStyle w:val="Overskrift1"/>
      </w:pPr>
      <w:r w:rsidRPr="00C80645">
        <w:t>Factors affecting diffusion</w:t>
      </w:r>
    </w:p>
    <w:p w14:paraId="47A26147" w14:textId="77777777" w:rsidR="002B52FC" w:rsidRPr="00C80645" w:rsidRDefault="002B52FC" w:rsidP="002B52FC">
      <w:pPr>
        <w:pStyle w:val="Listeavsnitt"/>
        <w:numPr>
          <w:ilvl w:val="0"/>
          <w:numId w:val="7"/>
        </w:numPr>
        <w:spacing w:before="240" w:after="240" w:line="240" w:lineRule="auto"/>
        <w:jc w:val="both"/>
        <w:outlineLvl w:val="1"/>
        <w:rPr>
          <w:b/>
          <w:vanish/>
        </w:rPr>
      </w:pPr>
    </w:p>
    <w:p w14:paraId="3B7ACA11" w14:textId="77777777" w:rsidR="001557D2" w:rsidRPr="00C80645" w:rsidRDefault="001557D2" w:rsidP="002B52FC">
      <w:pPr>
        <w:pStyle w:val="Overskrift2"/>
      </w:pPr>
      <w:r w:rsidRPr="00C80645">
        <w:t>National characteristics</w:t>
      </w:r>
    </w:p>
    <w:p w14:paraId="70A6CFE1" w14:textId="70EC9934" w:rsidR="001557D2" w:rsidRDefault="001557D2" w:rsidP="001557D2">
      <w:r w:rsidRPr="00C80645">
        <w:t>In Norway, electricity is produced almost exclusively (9</w:t>
      </w:r>
      <w:r w:rsidR="00DA268B">
        <w:t>6</w:t>
      </w:r>
      <w:r w:rsidRPr="00C80645">
        <w:t>%) by hydroelectric power plants (</w:t>
      </w:r>
      <w:r w:rsidR="000C3164">
        <w:t>Figenbaum et al 2015</w:t>
      </w:r>
      <w:r w:rsidRPr="00C80645">
        <w:t>). Norwegians consider electricity as</w:t>
      </w:r>
      <w:r w:rsidR="006C10B9" w:rsidRPr="00C80645">
        <w:t xml:space="preserve"> emission free and it is</w:t>
      </w:r>
      <w:r w:rsidRPr="00C80645">
        <w:t xml:space="preserve"> easily available</w:t>
      </w:r>
      <w:r w:rsidR="00AB0C94">
        <w:t xml:space="preserve"> at moderate prices (</w:t>
      </w:r>
      <w:r w:rsidR="000C3164">
        <w:t>Ibid</w:t>
      </w:r>
      <w:r w:rsidRPr="00C80645">
        <w:t>)</w:t>
      </w:r>
      <w:r w:rsidR="00800FE8" w:rsidRPr="00C80645">
        <w:t>.</w:t>
      </w:r>
      <w:r w:rsidRPr="00C80645">
        <w:t xml:space="preserve"> </w:t>
      </w:r>
      <w:r w:rsidR="00C2220F" w:rsidRPr="00C80645">
        <w:t>89% of household</w:t>
      </w:r>
      <w:r w:rsidR="006C10B9" w:rsidRPr="00C80645">
        <w:t>s</w:t>
      </w:r>
      <w:r w:rsidR="00C2220F" w:rsidRPr="00C80645">
        <w:t xml:space="preserve"> have a parking space available at their house, 84% </w:t>
      </w:r>
      <w:r w:rsidR="0099457D" w:rsidRPr="00C80645">
        <w:t xml:space="preserve">of these </w:t>
      </w:r>
      <w:r w:rsidR="00C2220F" w:rsidRPr="00C80645">
        <w:t>have it on ow</w:t>
      </w:r>
      <w:r w:rsidR="00800FE8" w:rsidRPr="00C80645">
        <w:t xml:space="preserve">n land </w:t>
      </w:r>
      <w:r w:rsidR="00C2220F" w:rsidRPr="00C80645">
        <w:t>(Hjorthol et al 2014)</w:t>
      </w:r>
      <w:r w:rsidR="0099457D">
        <w:t xml:space="preserve"> </w:t>
      </w:r>
      <w:r w:rsidR="00800FE8" w:rsidRPr="00C80645">
        <w:t xml:space="preserve">making it feasible to </w:t>
      </w:r>
      <w:r w:rsidR="006C10B9" w:rsidRPr="00C80645">
        <w:t>re</w:t>
      </w:r>
      <w:r w:rsidR="00800FE8" w:rsidRPr="00C80645">
        <w:t xml:space="preserve">charge a </w:t>
      </w:r>
      <w:r w:rsidR="00800FE8" w:rsidRPr="00C80645">
        <w:lastRenderedPageBreak/>
        <w:t>BEV at home</w:t>
      </w:r>
      <w:r w:rsidR="00C2220F" w:rsidRPr="00C80645">
        <w:t xml:space="preserve">. </w:t>
      </w:r>
      <w:r w:rsidRPr="00C80645">
        <w:t>Four of ten ICE</w:t>
      </w:r>
      <w:r w:rsidR="00800FE8" w:rsidRPr="00C80645">
        <w:t xml:space="preserve">Vs </w:t>
      </w:r>
      <w:r w:rsidRPr="00C80645">
        <w:t xml:space="preserve">are equipped with </w:t>
      </w:r>
      <w:r w:rsidR="00C2220F" w:rsidRPr="00C80645">
        <w:t xml:space="preserve">electric </w:t>
      </w:r>
      <w:r w:rsidRPr="00C80645">
        <w:t xml:space="preserve">engine block heaters (Bilnorge 2010) to </w:t>
      </w:r>
      <w:r w:rsidR="00800FE8" w:rsidRPr="00C80645">
        <w:t>facilitate cold starts</w:t>
      </w:r>
      <w:r w:rsidR="004659BD">
        <w:t xml:space="preserve">. </w:t>
      </w:r>
      <w:r w:rsidR="00800FE8" w:rsidRPr="00C80645">
        <w:t xml:space="preserve"> </w:t>
      </w:r>
      <w:r w:rsidR="0099457D">
        <w:t>Norwegians are</w:t>
      </w:r>
      <w:r w:rsidR="00C2220F" w:rsidRPr="00C80645">
        <w:t xml:space="preserve"> </w:t>
      </w:r>
      <w:r w:rsidR="0099457D">
        <w:t xml:space="preserve">thus </w:t>
      </w:r>
      <w:r w:rsidRPr="00C80645">
        <w:t>used to plugging vehicles into the grid</w:t>
      </w:r>
      <w:r w:rsidR="00800FE8" w:rsidRPr="00C80645">
        <w:t xml:space="preserve">, making BEVs </w:t>
      </w:r>
      <w:r w:rsidRPr="00C80645">
        <w:t xml:space="preserve">less complex </w:t>
      </w:r>
      <w:r w:rsidR="00800FE8" w:rsidRPr="00C80645">
        <w:t xml:space="preserve">to </w:t>
      </w:r>
      <w:r w:rsidRPr="00C80645">
        <w:t>take into use</w:t>
      </w:r>
      <w:r w:rsidR="00800FE8" w:rsidRPr="00C80645">
        <w:t>.</w:t>
      </w:r>
      <w:r w:rsidRPr="00C80645">
        <w:t xml:space="preserve"> </w:t>
      </w:r>
    </w:p>
    <w:p w14:paraId="4A81E58C" w14:textId="77777777" w:rsidR="004659BD" w:rsidRDefault="004659BD" w:rsidP="004659BD"/>
    <w:p w14:paraId="744FFA9B" w14:textId="52E2C3F4" w:rsidR="004659BD" w:rsidRPr="00C80645" w:rsidRDefault="004659BD" w:rsidP="004659BD">
      <w:r w:rsidRPr="00C80645">
        <w:t>The cold winter causes range to be reduced by 30% (Figenbaum</w:t>
      </w:r>
      <w:r>
        <w:t xml:space="preserve"> et al</w:t>
      </w:r>
      <w:r w:rsidRPr="00C80645">
        <w:t xml:space="preserve"> 2014), even up to 50% in severe cases (</w:t>
      </w:r>
      <w:r w:rsidRPr="00C80645">
        <w:rPr>
          <w:rFonts w:eastAsia="TT16Ft00"/>
        </w:rPr>
        <w:t>Haakana et al 2013</w:t>
      </w:r>
      <w:r w:rsidRPr="00C80645">
        <w:t xml:space="preserve">). Diffusion has thus as expected proven to be slow in the coldest and less densely populated areas, as seen in figure </w:t>
      </w:r>
      <w:r w:rsidR="00750946">
        <w:t>8</w:t>
      </w:r>
      <w:r w:rsidRPr="00C80645">
        <w:t xml:space="preserve">. </w:t>
      </w:r>
    </w:p>
    <w:p w14:paraId="3B4E08D7" w14:textId="77777777" w:rsidR="004659BD" w:rsidRPr="00C80645" w:rsidRDefault="004659BD" w:rsidP="001557D2"/>
    <w:p w14:paraId="3BB5F5C0" w14:textId="77777777" w:rsidR="003E6B33" w:rsidRPr="00C80645" w:rsidRDefault="003E6B33" w:rsidP="003E6B33">
      <w:pPr>
        <w:rPr>
          <w:i/>
        </w:rPr>
      </w:pPr>
      <w:r w:rsidRPr="00C80645">
        <w:rPr>
          <w:noProof/>
          <w:lang w:val="nb-NO" w:eastAsia="nb-NO"/>
        </w:rPr>
        <w:drawing>
          <wp:inline distT="0" distB="0" distL="0" distR="0" wp14:anchorId="7ACCEFC8" wp14:editId="65277136">
            <wp:extent cx="4876800" cy="3149312"/>
            <wp:effectExtent l="0" t="0" r="0" b="0"/>
            <wp:docPr id="8382" name="Bilde 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942" b="4761"/>
                    <a:stretch/>
                  </pic:blipFill>
                  <pic:spPr bwMode="auto">
                    <a:xfrm>
                      <a:off x="0" y="0"/>
                      <a:ext cx="4986017" cy="3219842"/>
                    </a:xfrm>
                    <a:prstGeom prst="rect">
                      <a:avLst/>
                    </a:prstGeom>
                    <a:noFill/>
                    <a:ln>
                      <a:noFill/>
                    </a:ln>
                    <a:extLst>
                      <a:ext uri="{53640926-AAD7-44D8-BBD7-CCE9431645EC}">
                        <a14:shadowObscured xmlns:a14="http://schemas.microsoft.com/office/drawing/2010/main"/>
                      </a:ext>
                    </a:extLst>
                  </pic:spPr>
                </pic:pic>
              </a:graphicData>
            </a:graphic>
          </wp:inline>
        </w:drawing>
      </w:r>
    </w:p>
    <w:p w14:paraId="4EA191D4" w14:textId="77AEF934" w:rsidR="003E6B33" w:rsidRPr="00C80645" w:rsidRDefault="003E6B33" w:rsidP="003E6B33">
      <w:pPr>
        <w:pStyle w:val="Merknadstekst"/>
        <w:rPr>
          <w:i/>
          <w:sz w:val="18"/>
          <w:szCs w:val="22"/>
        </w:rPr>
      </w:pPr>
      <w:r w:rsidRPr="00C80645">
        <w:rPr>
          <w:i/>
          <w:sz w:val="18"/>
          <w:szCs w:val="22"/>
        </w:rPr>
        <w:t xml:space="preserve">Figure </w:t>
      </w:r>
      <w:r w:rsidR="004659BD">
        <w:rPr>
          <w:i/>
          <w:sz w:val="18"/>
          <w:szCs w:val="22"/>
        </w:rPr>
        <w:t>8</w:t>
      </w:r>
      <w:r w:rsidR="00E04496" w:rsidRPr="00C80645">
        <w:rPr>
          <w:i/>
          <w:sz w:val="18"/>
          <w:szCs w:val="22"/>
        </w:rPr>
        <w:t xml:space="preserve"> </w:t>
      </w:r>
      <w:r w:rsidRPr="00C80645">
        <w:rPr>
          <w:i/>
          <w:sz w:val="18"/>
          <w:szCs w:val="22"/>
        </w:rPr>
        <w:t xml:space="preserve">Winter temperature (to the left), BEV density 2014 (in the middle) and population density (to the right) in Norway. Source: Left map: </w:t>
      </w:r>
      <w:r w:rsidRPr="00C80645">
        <w:rPr>
          <w:rFonts w:eastAsia="TT16Ft00"/>
          <w:i/>
          <w:sz w:val="18"/>
          <w:szCs w:val="22"/>
        </w:rPr>
        <w:t>Haakana et al (2013)</w:t>
      </w:r>
      <w:r w:rsidR="00316F93" w:rsidRPr="00C80645">
        <w:rPr>
          <w:i/>
          <w:sz w:val="18"/>
          <w:szCs w:val="22"/>
        </w:rPr>
        <w:t xml:space="preserve">, Middle map: 2014 BEV status, </w:t>
      </w:r>
      <w:r w:rsidR="00316F93" w:rsidRPr="00C80645">
        <w:rPr>
          <w:i/>
          <w:sz w:val="18"/>
          <w:szCs w:val="22"/>
          <w:highlight w:val="yellow"/>
        </w:rPr>
        <w:t>see figure</w:t>
      </w:r>
      <w:r w:rsidRPr="00C80645">
        <w:rPr>
          <w:i/>
          <w:sz w:val="18"/>
          <w:szCs w:val="22"/>
          <w:highlight w:val="yellow"/>
        </w:rPr>
        <w:t xml:space="preserve"> </w:t>
      </w:r>
      <w:r w:rsidR="00316F93" w:rsidRPr="00C80645">
        <w:rPr>
          <w:i/>
          <w:sz w:val="18"/>
          <w:szCs w:val="22"/>
          <w:highlight w:val="yellow"/>
        </w:rPr>
        <w:t>….</w:t>
      </w:r>
      <w:r w:rsidRPr="00C80645">
        <w:rPr>
          <w:i/>
          <w:sz w:val="18"/>
          <w:szCs w:val="22"/>
          <w:highlight w:val="yellow"/>
        </w:rPr>
        <w:t>.</w:t>
      </w:r>
      <w:r w:rsidRPr="00C80645">
        <w:rPr>
          <w:i/>
          <w:sz w:val="18"/>
          <w:szCs w:val="22"/>
        </w:rPr>
        <w:t xml:space="preserve"> Right map: Statistics Norway (2014). </w:t>
      </w:r>
    </w:p>
    <w:p w14:paraId="4DC4A1F9" w14:textId="77777777" w:rsidR="001557D2" w:rsidRPr="00C80645" w:rsidRDefault="001557D2" w:rsidP="001557D2">
      <w:pPr>
        <w:pStyle w:val="Overskrift2"/>
      </w:pPr>
      <w:bookmarkStart w:id="15" w:name="_Toc408840274"/>
      <w:bookmarkStart w:id="16" w:name="_Toc409423980"/>
      <w:bookmarkStart w:id="17" w:name="_Toc420068407"/>
      <w:r w:rsidRPr="00C80645">
        <w:t xml:space="preserve">Norwegian </w:t>
      </w:r>
      <w:bookmarkEnd w:id="15"/>
      <w:bookmarkEnd w:id="16"/>
      <w:r w:rsidRPr="00C80645">
        <w:t>BEV incentives</w:t>
      </w:r>
      <w:bookmarkEnd w:id="17"/>
      <w:r w:rsidRPr="00C80645">
        <w:t xml:space="preserve"> </w:t>
      </w:r>
    </w:p>
    <w:p w14:paraId="0B869E9C" w14:textId="46792448" w:rsidR="00B3044A" w:rsidRDefault="001557D2" w:rsidP="001557D2">
      <w:r w:rsidRPr="00C80645">
        <w:t>The</w:t>
      </w:r>
      <w:r w:rsidR="00316F93" w:rsidRPr="00C80645">
        <w:t xml:space="preserve"> </w:t>
      </w:r>
      <w:r w:rsidR="00704DA1">
        <w:t>comprehensive package of</w:t>
      </w:r>
      <w:r w:rsidR="00316F93" w:rsidRPr="00C80645">
        <w:t xml:space="preserve"> BEV</w:t>
      </w:r>
      <w:r w:rsidRPr="00C80645">
        <w:t xml:space="preserve"> incentives</w:t>
      </w:r>
      <w:r w:rsidR="00D17E7C" w:rsidRPr="00C80645">
        <w:t xml:space="preserve"> </w:t>
      </w:r>
      <w:r w:rsidR="00704DA1">
        <w:t>has</w:t>
      </w:r>
      <w:r w:rsidR="00D17E7C" w:rsidRPr="00C80645">
        <w:t xml:space="preserve"> le</w:t>
      </w:r>
      <w:r w:rsidRPr="00C80645">
        <w:t xml:space="preserve">d to more </w:t>
      </w:r>
      <w:r w:rsidR="00316F93" w:rsidRPr="00C80645">
        <w:t xml:space="preserve">and other </w:t>
      </w:r>
      <w:r w:rsidRPr="00C80645">
        <w:t>adopters than the theory of diffusion of innovation predicts</w:t>
      </w:r>
      <w:r w:rsidR="0099457D">
        <w:t xml:space="preserve"> by moving consumer </w:t>
      </w:r>
      <w:r w:rsidR="00413140" w:rsidRPr="00C80645">
        <w:t>a</w:t>
      </w:r>
      <w:r w:rsidR="00D17E7C" w:rsidRPr="00C80645">
        <w:t>doption to an earlier point in time</w:t>
      </w:r>
      <w:r w:rsidR="00B3044A" w:rsidRPr="00C80645">
        <w:t>. A</w:t>
      </w:r>
      <w:r w:rsidR="00316F93" w:rsidRPr="00C80645">
        <w:t xml:space="preserve">doption </w:t>
      </w:r>
      <w:r w:rsidR="00B3044A" w:rsidRPr="00C80645">
        <w:t xml:space="preserve">have become </w:t>
      </w:r>
      <w:r w:rsidR="00316F93" w:rsidRPr="00C80645">
        <w:t>feasible for less affluent consumers</w:t>
      </w:r>
      <w:r w:rsidR="00B3044A" w:rsidRPr="00C80645">
        <w:t xml:space="preserve"> by levelling out the price difference between BEVs and ICEVs through the tax policy</w:t>
      </w:r>
      <w:r w:rsidR="0099457D">
        <w:t>, further aided by</w:t>
      </w:r>
      <w:r w:rsidR="00413140" w:rsidRPr="00C80645">
        <w:t xml:space="preserve"> technology </w:t>
      </w:r>
      <w:r w:rsidR="0099457D">
        <w:t>cost reductions</w:t>
      </w:r>
      <w:r w:rsidR="00413140" w:rsidRPr="00C80645">
        <w:t xml:space="preserve">, </w:t>
      </w:r>
      <w:r w:rsidR="0099457D">
        <w:t>as s</w:t>
      </w:r>
      <w:r w:rsidR="00413140" w:rsidRPr="00C80645">
        <w:t>ee</w:t>
      </w:r>
      <w:r w:rsidR="0099457D">
        <w:t>n in</w:t>
      </w:r>
      <w:r w:rsidR="00B3044A" w:rsidRPr="00C80645">
        <w:t xml:space="preserve"> figure</w:t>
      </w:r>
      <w:r w:rsidR="00804996">
        <w:t xml:space="preserve"> 9.</w:t>
      </w:r>
      <w:r w:rsidR="009B569D" w:rsidRPr="00C80645">
        <w:t xml:space="preserve"> </w:t>
      </w:r>
    </w:p>
    <w:p w14:paraId="72BD1343" w14:textId="77777777" w:rsidR="00E2283F" w:rsidRPr="00C80645" w:rsidRDefault="00E2283F" w:rsidP="001557D2"/>
    <w:p w14:paraId="0144A1DE" w14:textId="77777777" w:rsidR="00E2283F" w:rsidRPr="00C80645" w:rsidRDefault="00E2283F" w:rsidP="00E2283F">
      <w:r w:rsidRPr="00C80645">
        <w:t xml:space="preserve">The rate of diffusion in Norway indicates that the incentives and policies presented in table 1, have addressed many of the barriers to BEV adoption. Niche markets have been created and have formed a base to grow from, such as bus lane users, users in areas with toll roads, users looking for parking spaces in crowded city centres etc. It is not likely that many people would have bought the first expensive and rather primitive vehicles of the early 2000s without substantial incentives, as seen by the high price differential between the price of the cheapest BEVs and ICEVs in figure </w:t>
      </w:r>
      <w:r>
        <w:t>9</w:t>
      </w:r>
      <w:r w:rsidRPr="00C80645">
        <w:t xml:space="preserve">, and the slow adoption of BEVs </w:t>
      </w:r>
      <w:r>
        <w:t xml:space="preserve">in the beginning. </w:t>
      </w:r>
    </w:p>
    <w:p w14:paraId="41025FC5" w14:textId="77777777" w:rsidR="00E2283F" w:rsidRPr="00C80645" w:rsidRDefault="00E2283F" w:rsidP="00E2283F"/>
    <w:p w14:paraId="467F6F48" w14:textId="77777777" w:rsidR="00B3044A" w:rsidRPr="00C80645" w:rsidRDefault="00B3044A" w:rsidP="001557D2"/>
    <w:p w14:paraId="21DD083B" w14:textId="77777777" w:rsidR="00F329FC" w:rsidRPr="00C80645" w:rsidRDefault="00F329FC" w:rsidP="00F329FC">
      <w:pPr>
        <w:keepNext/>
      </w:pPr>
      <w:r w:rsidRPr="00C80645">
        <w:rPr>
          <w:noProof/>
          <w:lang w:val="nb-NO" w:eastAsia="nb-NO"/>
        </w:rPr>
        <w:lastRenderedPageBreak/>
        <w:drawing>
          <wp:inline distT="0" distB="0" distL="0" distR="0" wp14:anchorId="63E5FDCE" wp14:editId="0946A74C">
            <wp:extent cx="4572000" cy="2979049"/>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3653" cy="2980126"/>
                    </a:xfrm>
                    <a:prstGeom prst="rect">
                      <a:avLst/>
                    </a:prstGeom>
                    <a:noFill/>
                  </pic:spPr>
                </pic:pic>
              </a:graphicData>
            </a:graphic>
          </wp:inline>
        </w:drawing>
      </w:r>
    </w:p>
    <w:p w14:paraId="37918890" w14:textId="0402D169" w:rsidR="00F329FC" w:rsidRPr="00C80645" w:rsidRDefault="00F329FC" w:rsidP="00F329FC">
      <w:pPr>
        <w:pStyle w:val="Bildetekst"/>
        <w:rPr>
          <w:rFonts w:ascii="Arial" w:hAnsi="Arial" w:cs="Arial"/>
          <w:sz w:val="18"/>
          <w:lang w:val="en-GB"/>
        </w:rPr>
      </w:pPr>
      <w:r w:rsidRPr="00C80645">
        <w:rPr>
          <w:rFonts w:ascii="Arial" w:hAnsi="Arial" w:cs="Arial"/>
          <w:sz w:val="18"/>
          <w:lang w:val="en-GB"/>
        </w:rPr>
        <w:t xml:space="preserve">Figure </w:t>
      </w:r>
      <w:r w:rsidR="00750946">
        <w:rPr>
          <w:rFonts w:ascii="Arial" w:hAnsi="Arial" w:cs="Arial"/>
          <w:sz w:val="18"/>
          <w:lang w:val="en-GB"/>
        </w:rPr>
        <w:t>9</w:t>
      </w:r>
      <w:r w:rsidRPr="00C80645">
        <w:rPr>
          <w:rFonts w:ascii="Arial" w:hAnsi="Arial" w:cs="Arial"/>
          <w:sz w:val="18"/>
          <w:lang w:val="en-GB"/>
        </w:rPr>
        <w:t xml:space="preserve"> Sales prices of </w:t>
      </w:r>
      <w:r w:rsidR="00804996">
        <w:rPr>
          <w:rFonts w:ascii="Arial" w:hAnsi="Arial" w:cs="Arial"/>
          <w:sz w:val="18"/>
          <w:lang w:val="en-GB"/>
        </w:rPr>
        <w:t xml:space="preserve">some </w:t>
      </w:r>
      <w:r w:rsidRPr="00C80645">
        <w:rPr>
          <w:rFonts w:ascii="Arial" w:hAnsi="Arial" w:cs="Arial"/>
          <w:sz w:val="18"/>
          <w:lang w:val="en-GB"/>
        </w:rPr>
        <w:t>BEVs in Norway compared with gasoline vehicles. BEV prices are without all taxes according to the incentives. ICE vehicle prices include all registration taxes and VAT. Sources: Taxnorway 2015, Bilpris</w:t>
      </w:r>
      <w:r w:rsidR="00AB0C94">
        <w:rPr>
          <w:rFonts w:ascii="Arial" w:hAnsi="Arial" w:cs="Arial"/>
          <w:sz w:val="18"/>
          <w:lang w:val="en-GB"/>
        </w:rPr>
        <w:t>er (199</w:t>
      </w:r>
      <w:r w:rsidRPr="00C80645">
        <w:rPr>
          <w:rFonts w:ascii="Arial" w:hAnsi="Arial" w:cs="Arial"/>
          <w:sz w:val="18"/>
          <w:lang w:val="en-GB"/>
        </w:rPr>
        <w:t>8-2014</w:t>
      </w:r>
      <w:r w:rsidR="000C3164">
        <w:rPr>
          <w:rFonts w:ascii="Arial" w:hAnsi="Arial" w:cs="Arial"/>
          <w:sz w:val="18"/>
          <w:lang w:val="en-GB"/>
        </w:rPr>
        <w:t>)</w:t>
      </w:r>
      <w:r w:rsidR="00804996">
        <w:rPr>
          <w:rFonts w:ascii="Arial" w:hAnsi="Arial" w:cs="Arial"/>
          <w:sz w:val="18"/>
          <w:lang w:val="en-GB"/>
        </w:rPr>
        <w:t>,</w:t>
      </w:r>
      <w:r w:rsidRPr="00C80645">
        <w:rPr>
          <w:rFonts w:ascii="Arial" w:hAnsi="Arial" w:cs="Arial"/>
          <w:sz w:val="18"/>
          <w:lang w:val="en-GB"/>
        </w:rPr>
        <w:t xml:space="preserve"> webpages, news articles, historical sales material.</w:t>
      </w:r>
    </w:p>
    <w:p w14:paraId="27429DD7" w14:textId="77777777" w:rsidR="00607475" w:rsidRPr="00C80645" w:rsidRDefault="00F329FC" w:rsidP="00607475">
      <w:pPr>
        <w:pStyle w:val="Overskrift2"/>
      </w:pPr>
      <w:bookmarkStart w:id="18" w:name="_Toc408840275"/>
      <w:bookmarkStart w:id="19" w:name="_Toc409423981"/>
      <w:bookmarkStart w:id="20" w:name="_Toc420068409"/>
      <w:r w:rsidRPr="00C80645">
        <w:t>T</w:t>
      </w:r>
      <w:r w:rsidR="00413140" w:rsidRPr="00C80645">
        <w:t>he technologies</w:t>
      </w:r>
      <w:r w:rsidR="00607475" w:rsidRPr="00C80645">
        <w:t xml:space="preserve"> </w:t>
      </w:r>
      <w:r w:rsidRPr="00C80645">
        <w:t xml:space="preserve">attributes </w:t>
      </w:r>
      <w:r w:rsidR="00413140" w:rsidRPr="00C80645">
        <w:t>have evolved</w:t>
      </w:r>
      <w:bookmarkEnd w:id="18"/>
      <w:bookmarkEnd w:id="19"/>
      <w:r w:rsidR="00607475" w:rsidRPr="00C80645">
        <w:t xml:space="preserve"> over time</w:t>
      </w:r>
      <w:bookmarkEnd w:id="20"/>
      <w:r w:rsidR="00607475" w:rsidRPr="00C80645">
        <w:t xml:space="preserve"> </w:t>
      </w:r>
      <w:bookmarkStart w:id="21" w:name="_Toc408840276"/>
      <w:bookmarkStart w:id="22" w:name="_Toc408840277"/>
      <w:bookmarkEnd w:id="21"/>
      <w:bookmarkEnd w:id="22"/>
    </w:p>
    <w:p w14:paraId="41AE122E" w14:textId="4F90B037" w:rsidR="00B5492A" w:rsidRPr="00C80645" w:rsidRDefault="00607475" w:rsidP="004E2A8A">
      <w:r w:rsidRPr="00C80645">
        <w:t xml:space="preserve">The BEV technology has improved </w:t>
      </w:r>
      <w:r w:rsidR="00413140" w:rsidRPr="00C80645">
        <w:t xml:space="preserve">substantially </w:t>
      </w:r>
      <w:r w:rsidRPr="00C80645">
        <w:t xml:space="preserve">over time. In the early 2000s, the </w:t>
      </w:r>
      <w:r w:rsidR="009B569D" w:rsidRPr="00C80645">
        <w:t xml:space="preserve">real world </w:t>
      </w:r>
      <w:r w:rsidRPr="00C80645">
        <w:t>range (what users experience over the seasons) was typically 40-80 km</w:t>
      </w:r>
      <w:r w:rsidR="00413140" w:rsidRPr="00C80645">
        <w:t>. No</w:t>
      </w:r>
      <w:r w:rsidR="00DF6D5B" w:rsidRPr="00C80645">
        <w:t xml:space="preserve"> fast chargers where available. From </w:t>
      </w:r>
      <w:r w:rsidRPr="00C80645">
        <w:t>2011 vehicles with ranges</w:t>
      </w:r>
      <w:r w:rsidR="004E2A8A" w:rsidRPr="00C80645">
        <w:t xml:space="preserve"> of 100-150 km appeared</w:t>
      </w:r>
      <w:r w:rsidR="0099457D">
        <w:t xml:space="preserve">, which had a </w:t>
      </w:r>
      <w:r w:rsidR="00DF6D5B" w:rsidRPr="00C80645">
        <w:t>fast charge capability</w:t>
      </w:r>
      <w:r w:rsidR="00413140" w:rsidRPr="00C80645">
        <w:t>.</w:t>
      </w:r>
      <w:r w:rsidR="00DF6D5B" w:rsidRPr="00C80645">
        <w:t xml:space="preserve"> </w:t>
      </w:r>
      <w:r w:rsidR="004E2A8A" w:rsidRPr="00C80645">
        <w:t xml:space="preserve">Tesla launched the Model S </w:t>
      </w:r>
      <w:r w:rsidR="00DF6D5B" w:rsidRPr="00C80645">
        <w:t>with an</w:t>
      </w:r>
      <w:r w:rsidRPr="00C80645">
        <w:t xml:space="preserve"> on-road range of 300-450 km (author’s estimates)</w:t>
      </w:r>
      <w:r w:rsidR="00413140" w:rsidRPr="00C80645">
        <w:t xml:space="preserve"> in 2013</w:t>
      </w:r>
      <w:r w:rsidRPr="00C80645">
        <w:t>. The</w:t>
      </w:r>
      <w:r w:rsidR="0099457D">
        <w:t>se</w:t>
      </w:r>
      <w:r w:rsidRPr="00C80645">
        <w:t xml:space="preserve"> improvement</w:t>
      </w:r>
      <w:r w:rsidR="00DF6D5B" w:rsidRPr="00C80645">
        <w:t>s are</w:t>
      </w:r>
      <w:r w:rsidR="00AA199E" w:rsidRPr="00C80645">
        <w:t xml:space="preserve"> mainly</w:t>
      </w:r>
      <w:r w:rsidRPr="00C80645">
        <w:t xml:space="preserve"> due to</w:t>
      </w:r>
      <w:r w:rsidR="004A3F37" w:rsidRPr="00C80645">
        <w:t xml:space="preserve"> maintenance free</w:t>
      </w:r>
      <w:r w:rsidRPr="00C80645">
        <w:t xml:space="preserve"> Li-Ion batte</w:t>
      </w:r>
      <w:r w:rsidR="004A3F37" w:rsidRPr="00C80645">
        <w:t>ries with high</w:t>
      </w:r>
      <w:r w:rsidR="00AA199E" w:rsidRPr="00C80645">
        <w:t xml:space="preserve"> energy density</w:t>
      </w:r>
      <w:r w:rsidR="00413140" w:rsidRPr="00C80645">
        <w:t xml:space="preserve"> </w:t>
      </w:r>
      <w:r w:rsidR="0099457D">
        <w:t>coming on the market</w:t>
      </w:r>
      <w:r w:rsidR="00AA199E" w:rsidRPr="00C80645">
        <w:t xml:space="preserve"> </w:t>
      </w:r>
      <w:r w:rsidR="00DF6D5B" w:rsidRPr="00C80645">
        <w:t xml:space="preserve">and improved </w:t>
      </w:r>
      <w:r w:rsidR="00413140" w:rsidRPr="00C80645">
        <w:t xml:space="preserve">climate controls </w:t>
      </w:r>
      <w:r w:rsidR="0099457D">
        <w:t>using</w:t>
      </w:r>
      <w:r w:rsidR="00413140" w:rsidRPr="00C80645">
        <w:t xml:space="preserve"> heat pumps</w:t>
      </w:r>
      <w:r w:rsidRPr="00C80645">
        <w:t xml:space="preserve">. </w:t>
      </w:r>
    </w:p>
    <w:p w14:paraId="4DFC36B7" w14:textId="77777777" w:rsidR="00B5492A" w:rsidRPr="00C80645" w:rsidRDefault="00B5492A" w:rsidP="004E2A8A"/>
    <w:p w14:paraId="5FCBF9AC" w14:textId="0B8577E8" w:rsidR="00B5492A" w:rsidRPr="00C80645" w:rsidRDefault="00DF6D5B" w:rsidP="004E2A8A">
      <w:r w:rsidRPr="00C80645">
        <w:t>Battery warranty h</w:t>
      </w:r>
      <w:r w:rsidR="00120183" w:rsidRPr="00C80645">
        <w:t>as gone up from 2 years for</w:t>
      </w:r>
      <w:r w:rsidRPr="00C80645">
        <w:t xml:space="preserve"> Ni</w:t>
      </w:r>
      <w:r w:rsidR="004E2A8A" w:rsidRPr="00C80645">
        <w:t>-Cd batteries</w:t>
      </w:r>
      <w:r w:rsidR="00120183" w:rsidRPr="00C80645">
        <w:t xml:space="preserve"> used around 2000,</w:t>
      </w:r>
      <w:r w:rsidR="004E2A8A" w:rsidRPr="00C80645">
        <w:t xml:space="preserve"> to </w:t>
      </w:r>
      <w:r w:rsidRPr="00C80645">
        <w:t xml:space="preserve">up to </w:t>
      </w:r>
      <w:r w:rsidR="00E04496" w:rsidRPr="00C80645">
        <w:t xml:space="preserve">eight </w:t>
      </w:r>
      <w:r w:rsidR="004E2A8A" w:rsidRPr="00C80645">
        <w:t>years 20</w:t>
      </w:r>
      <w:r w:rsidR="00607475" w:rsidRPr="00C80645">
        <w:t>0 </w:t>
      </w:r>
      <w:r w:rsidR="004E2A8A" w:rsidRPr="00C80645">
        <w:t>000 km warranties</w:t>
      </w:r>
      <w:r w:rsidRPr="00C80645">
        <w:t xml:space="preserve"> for 2016 models</w:t>
      </w:r>
      <w:r w:rsidR="004E2A8A" w:rsidRPr="00C80645">
        <w:t xml:space="preserve">. </w:t>
      </w:r>
      <w:r w:rsidRPr="00C80645">
        <w:t>T</w:t>
      </w:r>
      <w:r w:rsidR="00607475" w:rsidRPr="00C80645">
        <w:t xml:space="preserve">he life of batteries </w:t>
      </w:r>
      <w:r w:rsidRPr="00C80645">
        <w:t>has</w:t>
      </w:r>
      <w:r w:rsidR="00607475" w:rsidRPr="00C80645">
        <w:t xml:space="preserve"> </w:t>
      </w:r>
      <w:r w:rsidRPr="00C80645">
        <w:t>proven</w:t>
      </w:r>
      <w:r w:rsidR="004E2A8A" w:rsidRPr="00C80645">
        <w:t xml:space="preserve"> </w:t>
      </w:r>
      <w:r w:rsidR="00607475" w:rsidRPr="00C80645">
        <w:t xml:space="preserve">better than </w:t>
      </w:r>
      <w:r w:rsidR="004E2A8A" w:rsidRPr="00C80645">
        <w:t xml:space="preserve">initially </w:t>
      </w:r>
      <w:r w:rsidR="00607475" w:rsidRPr="00C80645">
        <w:t>expected</w:t>
      </w:r>
      <w:r w:rsidR="00120183" w:rsidRPr="00C80645">
        <w:t>,</w:t>
      </w:r>
      <w:r w:rsidRPr="00C80645">
        <w:t xml:space="preserve"> and </w:t>
      </w:r>
      <w:r w:rsidR="00607475" w:rsidRPr="00C80645">
        <w:t>worries</w:t>
      </w:r>
      <w:r w:rsidR="00120183" w:rsidRPr="00C80645">
        <w:t xml:space="preserve"> over battery replacement cost</w:t>
      </w:r>
      <w:r w:rsidR="00607475" w:rsidRPr="00C80645">
        <w:t xml:space="preserve"> </w:t>
      </w:r>
      <w:r w:rsidR="00120183" w:rsidRPr="00C80645">
        <w:t>has</w:t>
      </w:r>
      <w:r w:rsidRPr="00C80645">
        <w:t xml:space="preserve"> been reduced among consumers </w:t>
      </w:r>
      <w:r w:rsidR="004E2A8A" w:rsidRPr="00C80645">
        <w:t>between 2014 and 2016</w:t>
      </w:r>
      <w:r w:rsidR="00607475" w:rsidRPr="00C80645">
        <w:t xml:space="preserve"> (</w:t>
      </w:r>
      <w:r w:rsidRPr="00C80645">
        <w:t xml:space="preserve">Figenbaum </w:t>
      </w:r>
      <w:r w:rsidR="00804996">
        <w:t>&amp;</w:t>
      </w:r>
      <w:r w:rsidR="004E2A8A" w:rsidRPr="00C80645">
        <w:t xml:space="preserve"> Kolbenstvedt 2016</w:t>
      </w:r>
      <w:r w:rsidR="00607475" w:rsidRPr="00C80645">
        <w:t>)</w:t>
      </w:r>
      <w:r w:rsidR="0099457D">
        <w:t>,</w:t>
      </w:r>
      <w:r w:rsidR="00120183" w:rsidRPr="00C80645">
        <w:t xml:space="preserve"> as </w:t>
      </w:r>
      <w:r w:rsidR="0099457D">
        <w:t xml:space="preserve">illustrated by a big reduction in consumers </w:t>
      </w:r>
      <w:r w:rsidR="00120183" w:rsidRPr="00C80645">
        <w:t xml:space="preserve">concern over </w:t>
      </w:r>
      <w:r w:rsidR="0099457D">
        <w:t xml:space="preserve">the </w:t>
      </w:r>
      <w:r w:rsidR="00120183" w:rsidRPr="00C80645">
        <w:t>second hand value of BEVs</w:t>
      </w:r>
      <w:r w:rsidR="00607475" w:rsidRPr="00C80645">
        <w:t xml:space="preserve">. </w:t>
      </w:r>
    </w:p>
    <w:p w14:paraId="2F362A9B" w14:textId="77777777" w:rsidR="00B5492A" w:rsidRPr="00C80645" w:rsidRDefault="00B5492A" w:rsidP="004E2A8A"/>
    <w:p w14:paraId="4C0D3E18" w14:textId="3B825A7D" w:rsidR="00AA199E" w:rsidRPr="00C80645" w:rsidRDefault="00B5492A" w:rsidP="004E2A8A">
      <w:r w:rsidRPr="00C80645">
        <w:t>A network of about 300 (</w:t>
      </w:r>
      <w:r w:rsidR="00D83599">
        <w:t>Elbil 2016</w:t>
      </w:r>
      <w:r w:rsidRPr="00C80645">
        <w:t>) fast chargers are now located along main roads and in cities, facil</w:t>
      </w:r>
      <w:r w:rsidR="0099457D">
        <w:t>itating longer distance driving</w:t>
      </w:r>
      <w:r w:rsidRPr="00C80645">
        <w:t xml:space="preserve">. </w:t>
      </w:r>
    </w:p>
    <w:p w14:paraId="33140AFE" w14:textId="77777777" w:rsidR="009B569D" w:rsidRPr="00C80645" w:rsidRDefault="009B569D" w:rsidP="00607475"/>
    <w:p w14:paraId="22F677CF" w14:textId="77777777" w:rsidR="004A3F37" w:rsidRPr="00C80645" w:rsidRDefault="00607475" w:rsidP="004A3F37">
      <w:r w:rsidRPr="00C80645">
        <w:t xml:space="preserve">The safety of BEVs has improved </w:t>
      </w:r>
      <w:r w:rsidR="00E04496" w:rsidRPr="00C80645">
        <w:t xml:space="preserve">dramatically from the </w:t>
      </w:r>
      <w:r w:rsidRPr="00C80645">
        <w:t>(Høy</w:t>
      </w:r>
      <w:r w:rsidR="009B569D" w:rsidRPr="00C80645">
        <w:t>e &amp; Figenbaum 2015) early 2000s</w:t>
      </w:r>
      <w:r w:rsidRPr="00C80645">
        <w:t xml:space="preserve"> </w:t>
      </w:r>
      <w:r w:rsidR="00E04496" w:rsidRPr="00C80645">
        <w:t xml:space="preserve">small rather </w:t>
      </w:r>
      <w:r w:rsidR="00B5492A" w:rsidRPr="00C80645">
        <w:t>basic</w:t>
      </w:r>
      <w:r w:rsidR="004A3F37" w:rsidRPr="00C80645">
        <w:t xml:space="preserve"> </w:t>
      </w:r>
      <w:r w:rsidRPr="00C80645">
        <w:t>BEV</w:t>
      </w:r>
      <w:r w:rsidR="00E04496" w:rsidRPr="00C80645">
        <w:t>s</w:t>
      </w:r>
      <w:r w:rsidR="00120183" w:rsidRPr="00C80645">
        <w:t>. BEVs</w:t>
      </w:r>
      <w:r w:rsidR="004A3F37" w:rsidRPr="00C80645">
        <w:t xml:space="preserve"> now </w:t>
      </w:r>
      <w:r w:rsidRPr="00C80645">
        <w:t>achieve 4-5 stars in EuroNcap</w:t>
      </w:r>
      <w:r w:rsidR="00C80645">
        <w:t xml:space="preserve"> crashtest</w:t>
      </w:r>
      <w:r w:rsidR="00120183" w:rsidRPr="00C80645">
        <w:t>,</w:t>
      </w:r>
      <w:r w:rsidRPr="00C80645">
        <w:t xml:space="preserve"> </w:t>
      </w:r>
      <w:r w:rsidR="004A3F37" w:rsidRPr="00C80645">
        <w:t xml:space="preserve">as </w:t>
      </w:r>
      <w:r w:rsidR="00E04496" w:rsidRPr="00C80645">
        <w:t xml:space="preserve">ICEVs </w:t>
      </w:r>
      <w:r w:rsidR="004A3F37" w:rsidRPr="00C80645">
        <w:t>d</w:t>
      </w:r>
      <w:r w:rsidR="00120183" w:rsidRPr="00C80645">
        <w:t>o (</w:t>
      </w:r>
      <w:r w:rsidR="00AB0C94">
        <w:t>EuroNcap 2014</w:t>
      </w:r>
      <w:r w:rsidR="00120183" w:rsidRPr="00C80645">
        <w:t>)</w:t>
      </w:r>
      <w:r w:rsidR="004A3F37" w:rsidRPr="00C80645">
        <w:t xml:space="preserve">. </w:t>
      </w:r>
      <w:bookmarkStart w:id="23" w:name="_Toc408840289"/>
      <w:bookmarkStart w:id="24" w:name="_Toc409423984"/>
      <w:bookmarkStart w:id="25" w:name="_Toc420068412"/>
    </w:p>
    <w:p w14:paraId="645F0941" w14:textId="77777777" w:rsidR="004A3F37" w:rsidRPr="00C80645" w:rsidRDefault="004A3F37" w:rsidP="004A3F37"/>
    <w:p w14:paraId="2CF2E046" w14:textId="77777777" w:rsidR="00F329FC" w:rsidRPr="00C80645" w:rsidRDefault="00F329FC" w:rsidP="004A3F37">
      <w:pPr>
        <w:pStyle w:val="Overskrift2"/>
      </w:pPr>
      <w:r w:rsidRPr="00C80645">
        <w:t>Communication channels</w:t>
      </w:r>
      <w:bookmarkEnd w:id="23"/>
      <w:bookmarkEnd w:id="24"/>
      <w:bookmarkEnd w:id="25"/>
    </w:p>
    <w:p w14:paraId="7C92B937" w14:textId="1B1DAFE2" w:rsidR="004A3F37" w:rsidRPr="00C80645" w:rsidRDefault="004A3F37" w:rsidP="004A3F37">
      <w:r w:rsidRPr="00C80645">
        <w:rPr>
          <w:rFonts w:cs="Garamond"/>
          <w:szCs w:val="20"/>
        </w:rPr>
        <w:t>Social networks play a large role in the pace of diffusion of new technologies according to Rogers (1995). In the beginning, prospective buyers typically get the information inspiring a purchase from media</w:t>
      </w:r>
      <w:r w:rsidRPr="000C3164">
        <w:rPr>
          <w:rFonts w:cs="Garamond"/>
          <w:szCs w:val="20"/>
        </w:rPr>
        <w:t xml:space="preserve">. </w:t>
      </w:r>
      <w:r w:rsidRPr="000C3164">
        <w:t xml:space="preserve">Figure </w:t>
      </w:r>
      <w:r w:rsidRPr="00C80645">
        <w:t>1</w:t>
      </w:r>
      <w:r w:rsidR="00804996">
        <w:t>0</w:t>
      </w:r>
      <w:r w:rsidRPr="00C80645">
        <w:t xml:space="preserve"> present the yearly press coverage of BEVs</w:t>
      </w:r>
      <w:r w:rsidR="00120183" w:rsidRPr="00C80645">
        <w:t>, measured as the number of articles published,</w:t>
      </w:r>
      <w:r w:rsidRPr="00C80645">
        <w:t xml:space="preserve"> together with the growth in the BEV fleet. </w:t>
      </w:r>
    </w:p>
    <w:p w14:paraId="23D86061" w14:textId="77777777" w:rsidR="004A3F37" w:rsidRPr="00C80645" w:rsidRDefault="004A3F37" w:rsidP="004A3F37"/>
    <w:p w14:paraId="3EF62435" w14:textId="77777777" w:rsidR="004A3F37" w:rsidRPr="00C80645" w:rsidRDefault="004A3F37" w:rsidP="004A3F37">
      <w:r w:rsidRPr="00C80645">
        <w:rPr>
          <w:noProof/>
          <w:lang w:val="nb-NO" w:eastAsia="nb-NO"/>
        </w:rPr>
        <w:lastRenderedPageBreak/>
        <w:drawing>
          <wp:inline distT="0" distB="0" distL="0" distR="0" wp14:anchorId="07D00B31" wp14:editId="534A009C">
            <wp:extent cx="3302635" cy="1657611"/>
            <wp:effectExtent l="0" t="0" r="12065" b="0"/>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3D7DD39" w14:textId="78316255" w:rsidR="004A3F37" w:rsidRPr="00C80645" w:rsidRDefault="004A3F37" w:rsidP="004A3F37">
      <w:pPr>
        <w:pStyle w:val="Bildetekst"/>
        <w:rPr>
          <w:rFonts w:ascii="Arial" w:hAnsi="Arial" w:cs="Arial"/>
          <w:sz w:val="18"/>
          <w:szCs w:val="16"/>
          <w:lang w:val="en-GB"/>
        </w:rPr>
      </w:pPr>
      <w:r w:rsidRPr="00C80645">
        <w:rPr>
          <w:rFonts w:ascii="Arial" w:hAnsi="Arial" w:cs="Arial"/>
          <w:sz w:val="18"/>
          <w:szCs w:val="16"/>
          <w:lang w:val="en-GB"/>
        </w:rPr>
        <w:t xml:space="preserve">Figure </w:t>
      </w:r>
      <w:r w:rsidR="00CE6ACA" w:rsidRPr="00C80645">
        <w:rPr>
          <w:rFonts w:ascii="Arial" w:hAnsi="Arial" w:cs="Arial"/>
          <w:sz w:val="18"/>
          <w:szCs w:val="16"/>
          <w:lang w:val="en-GB"/>
        </w:rPr>
        <w:t>1</w:t>
      </w:r>
      <w:r w:rsidR="00750946">
        <w:rPr>
          <w:rFonts w:ascii="Arial" w:hAnsi="Arial" w:cs="Arial"/>
          <w:sz w:val="18"/>
          <w:szCs w:val="16"/>
          <w:lang w:val="en-GB"/>
        </w:rPr>
        <w:t>0</w:t>
      </w:r>
      <w:r w:rsidRPr="00C80645">
        <w:rPr>
          <w:rFonts w:ascii="Arial" w:hAnsi="Arial" w:cs="Arial"/>
          <w:sz w:val="18"/>
          <w:szCs w:val="16"/>
          <w:lang w:val="en-GB"/>
        </w:rPr>
        <w:t xml:space="preserve"> Press coverage of BEVs (red line) and annual growth of number of BEVs (blue line) in Norway between 1997 and 2015. Sources: Figenbaum</w:t>
      </w:r>
      <w:r w:rsidR="00804996">
        <w:rPr>
          <w:rFonts w:ascii="Arial" w:hAnsi="Arial" w:cs="Arial"/>
          <w:sz w:val="18"/>
          <w:szCs w:val="16"/>
          <w:lang w:val="en-GB"/>
        </w:rPr>
        <w:t xml:space="preserve"> </w:t>
      </w:r>
      <w:r w:rsidR="000C3164">
        <w:rPr>
          <w:rFonts w:ascii="Arial" w:hAnsi="Arial" w:cs="Arial"/>
          <w:sz w:val="18"/>
          <w:szCs w:val="16"/>
          <w:lang w:val="en-GB"/>
        </w:rPr>
        <w:t xml:space="preserve">and Kolbenstvedt </w:t>
      </w:r>
      <w:r w:rsidR="00804996">
        <w:rPr>
          <w:rFonts w:ascii="Arial" w:hAnsi="Arial" w:cs="Arial"/>
          <w:sz w:val="18"/>
          <w:szCs w:val="16"/>
          <w:lang w:val="en-GB"/>
        </w:rPr>
        <w:t>(</w:t>
      </w:r>
      <w:r w:rsidR="000C3164">
        <w:rPr>
          <w:rFonts w:ascii="Arial" w:hAnsi="Arial" w:cs="Arial"/>
          <w:sz w:val="18"/>
          <w:szCs w:val="16"/>
          <w:lang w:val="en-GB"/>
        </w:rPr>
        <w:t>2015a</w:t>
      </w:r>
      <w:r w:rsidRPr="00C80645">
        <w:rPr>
          <w:rFonts w:ascii="Arial" w:hAnsi="Arial" w:cs="Arial"/>
          <w:sz w:val="18"/>
          <w:szCs w:val="16"/>
          <w:lang w:val="en-GB"/>
        </w:rPr>
        <w:t>) and Retriever (2016).</w:t>
      </w:r>
    </w:p>
    <w:p w14:paraId="0B4E90A1" w14:textId="77777777" w:rsidR="00CA3D7A" w:rsidRPr="00C80645" w:rsidRDefault="00CA3D7A" w:rsidP="00CA3D7A">
      <w:pPr>
        <w:rPr>
          <w:lang w:eastAsia="nb-NO"/>
        </w:rPr>
      </w:pPr>
    </w:p>
    <w:p w14:paraId="600F1773" w14:textId="705CAFEC" w:rsidR="004A3F37" w:rsidRPr="00C80645" w:rsidRDefault="004A3F37" w:rsidP="00113AD1">
      <w:pPr>
        <w:autoSpaceDE w:val="0"/>
        <w:autoSpaceDN w:val="0"/>
        <w:adjustRightInd w:val="0"/>
      </w:pPr>
      <w:r w:rsidRPr="00C80645">
        <w:t>The press coverage was low until 2007, when a rapid increase led up to a higher level from 2009 to 2012</w:t>
      </w:r>
      <w:r w:rsidR="00120183" w:rsidRPr="00C80645">
        <w:t>, coinciding with announcements of new BEVs from vehicle manufacturers</w:t>
      </w:r>
      <w:r w:rsidRPr="00C80645">
        <w:t>. 2013 and 2014 have seen another large increase in press coverage. The three-year gap between increase in press articles and the increase in the fleet between 2007 and 2010</w:t>
      </w:r>
      <w:r w:rsidR="0099457D">
        <w:t>,</w:t>
      </w:r>
      <w:r w:rsidRPr="00C80645">
        <w:t xml:space="preserve"> is potentially linked to BEVs being high on the agenda while few vehicles were available at dealers. </w:t>
      </w:r>
    </w:p>
    <w:p w14:paraId="3E038200" w14:textId="77777777" w:rsidR="004A3F37" w:rsidRPr="00C80645" w:rsidRDefault="004A3F37" w:rsidP="00113AD1">
      <w:pPr>
        <w:autoSpaceDE w:val="0"/>
        <w:autoSpaceDN w:val="0"/>
        <w:adjustRightInd w:val="0"/>
      </w:pPr>
    </w:p>
    <w:p w14:paraId="279F1112" w14:textId="4B088027" w:rsidR="00113AD1" w:rsidRPr="00C80645" w:rsidRDefault="004A3F37" w:rsidP="00113AD1">
      <w:pPr>
        <w:autoSpaceDE w:val="0"/>
        <w:autoSpaceDN w:val="0"/>
        <w:adjustRightInd w:val="0"/>
        <w:rPr>
          <w:rFonts w:cs="Garamond"/>
          <w:szCs w:val="20"/>
        </w:rPr>
      </w:pPr>
      <w:r w:rsidRPr="00C80645">
        <w:rPr>
          <w:rFonts w:cs="Garamond"/>
          <w:szCs w:val="20"/>
        </w:rPr>
        <w:t xml:space="preserve">According to the theory, diffusion will </w:t>
      </w:r>
      <w:r w:rsidR="00804996">
        <w:rPr>
          <w:rFonts w:cs="Garamond"/>
          <w:szCs w:val="20"/>
        </w:rPr>
        <w:t>at</w:t>
      </w:r>
      <w:r w:rsidRPr="00C80645">
        <w:rPr>
          <w:rFonts w:cs="Garamond"/>
          <w:szCs w:val="20"/>
        </w:rPr>
        <w:t xml:space="preserve"> a later stage speed up when more insecure and cautious prospective buyers get reliable information from their peers. In the 2016 survey, </w:t>
      </w:r>
      <w:r w:rsidR="00113AD1" w:rsidRPr="00C80645">
        <w:rPr>
          <w:rFonts w:cs="Garamond"/>
          <w:szCs w:val="20"/>
        </w:rPr>
        <w:t xml:space="preserve">BEV respondents </w:t>
      </w:r>
      <w:r w:rsidRPr="00C80645">
        <w:rPr>
          <w:rFonts w:cs="Garamond"/>
          <w:szCs w:val="20"/>
        </w:rPr>
        <w:t>on average said they had inspired 1.2 of their peers to buy and 1.2. to consider buying BEVs</w:t>
      </w:r>
      <w:r w:rsidR="00120183" w:rsidRPr="00C80645">
        <w:rPr>
          <w:rFonts w:cs="Garamond"/>
          <w:szCs w:val="20"/>
        </w:rPr>
        <w:t>,</w:t>
      </w:r>
      <w:r w:rsidR="00113AD1" w:rsidRPr="00C80645">
        <w:rPr>
          <w:rFonts w:cs="Garamond"/>
          <w:szCs w:val="20"/>
        </w:rPr>
        <w:t xml:space="preserve"> after </w:t>
      </w:r>
      <w:r w:rsidR="00120183" w:rsidRPr="00C80645">
        <w:rPr>
          <w:rFonts w:cs="Garamond"/>
          <w:szCs w:val="20"/>
        </w:rPr>
        <w:t>having told them about the</w:t>
      </w:r>
      <w:r w:rsidR="00804996">
        <w:rPr>
          <w:rFonts w:cs="Garamond"/>
          <w:szCs w:val="20"/>
        </w:rPr>
        <w:t>ir</w:t>
      </w:r>
      <w:r w:rsidR="00113AD1" w:rsidRPr="00C80645">
        <w:rPr>
          <w:rFonts w:cs="Garamond"/>
          <w:szCs w:val="20"/>
        </w:rPr>
        <w:t xml:space="preserve"> BEV experience, </w:t>
      </w:r>
      <w:r w:rsidR="00804996">
        <w:rPr>
          <w:rFonts w:cs="Garamond"/>
          <w:szCs w:val="20"/>
        </w:rPr>
        <w:t>c</w:t>
      </w:r>
      <w:r w:rsidR="000C3164">
        <w:rPr>
          <w:rFonts w:cs="Garamond"/>
          <w:szCs w:val="20"/>
        </w:rPr>
        <w:t>.</w:t>
      </w:r>
      <w:r w:rsidR="00804996">
        <w:rPr>
          <w:rFonts w:cs="Garamond"/>
          <w:szCs w:val="20"/>
        </w:rPr>
        <w:t>f</w:t>
      </w:r>
      <w:r w:rsidR="000C3164">
        <w:rPr>
          <w:rFonts w:cs="Garamond"/>
          <w:szCs w:val="20"/>
        </w:rPr>
        <w:t>.</w:t>
      </w:r>
      <w:r w:rsidR="00120183" w:rsidRPr="00C80645">
        <w:rPr>
          <w:rFonts w:cs="Garamond"/>
          <w:szCs w:val="20"/>
        </w:rPr>
        <w:t xml:space="preserve"> </w:t>
      </w:r>
      <w:r w:rsidRPr="00C80645">
        <w:rPr>
          <w:rFonts w:cs="Garamond"/>
          <w:szCs w:val="20"/>
        </w:rPr>
        <w:t>figure 1</w:t>
      </w:r>
      <w:r w:rsidR="00804996">
        <w:rPr>
          <w:rFonts w:cs="Garamond"/>
          <w:szCs w:val="20"/>
        </w:rPr>
        <w:t>1</w:t>
      </w:r>
      <w:r w:rsidRPr="00C80645">
        <w:rPr>
          <w:rFonts w:cs="Garamond"/>
          <w:szCs w:val="20"/>
        </w:rPr>
        <w:t xml:space="preserve">. </w:t>
      </w:r>
    </w:p>
    <w:p w14:paraId="1C5E9591" w14:textId="77777777" w:rsidR="004A3F37" w:rsidRPr="00C80645" w:rsidRDefault="004A3F37" w:rsidP="00113AD1">
      <w:pPr>
        <w:pStyle w:val="Bildetekst"/>
        <w:rPr>
          <w:lang w:val="en-GB"/>
        </w:rPr>
      </w:pPr>
    </w:p>
    <w:p w14:paraId="739C8DBA" w14:textId="6B3C2165" w:rsidR="00113AD1" w:rsidRPr="00C80645" w:rsidRDefault="00113AD1" w:rsidP="00113AD1">
      <w:pPr>
        <w:pStyle w:val="Bildetekst"/>
        <w:rPr>
          <w:rFonts w:ascii="Arial" w:hAnsi="Arial" w:cs="Arial"/>
          <w:sz w:val="18"/>
          <w:lang w:val="en-GB"/>
        </w:rPr>
      </w:pPr>
      <w:r w:rsidRPr="00C80645">
        <w:rPr>
          <w:noProof/>
        </w:rPr>
        <w:drawing>
          <wp:inline distT="0" distB="0" distL="0" distR="0" wp14:anchorId="59064826" wp14:editId="610AADB9">
            <wp:extent cx="5093138" cy="1515649"/>
            <wp:effectExtent l="0" t="0" r="0" b="889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8695" cy="1517303"/>
                    </a:xfrm>
                    <a:prstGeom prst="rect">
                      <a:avLst/>
                    </a:prstGeom>
                    <a:noFill/>
                  </pic:spPr>
                </pic:pic>
              </a:graphicData>
            </a:graphic>
          </wp:inline>
        </w:drawing>
      </w:r>
      <w:r w:rsidRPr="00C80645">
        <w:rPr>
          <w:rFonts w:ascii="Arial" w:hAnsi="Arial" w:cs="Arial"/>
          <w:sz w:val="18"/>
          <w:lang w:val="en-GB"/>
        </w:rPr>
        <w:t xml:space="preserve">Figure </w:t>
      </w:r>
      <w:r w:rsidR="00607F85" w:rsidRPr="00C80645">
        <w:rPr>
          <w:rFonts w:ascii="Arial" w:hAnsi="Arial" w:cs="Arial"/>
          <w:sz w:val="18"/>
          <w:lang w:val="en-GB"/>
        </w:rPr>
        <w:t>1</w:t>
      </w:r>
      <w:r w:rsidR="00804996">
        <w:rPr>
          <w:rFonts w:ascii="Arial" w:hAnsi="Arial" w:cs="Arial"/>
          <w:sz w:val="18"/>
          <w:lang w:val="en-GB"/>
        </w:rPr>
        <w:t>1</w:t>
      </w:r>
      <w:r w:rsidRPr="00C80645">
        <w:rPr>
          <w:rFonts w:ascii="Arial" w:hAnsi="Arial" w:cs="Arial"/>
          <w:sz w:val="18"/>
          <w:lang w:val="en-GB"/>
        </w:rPr>
        <w:t xml:space="preserve"> Number of friends/family t BEV owners say they have inspired to buy BEVs (left) or consider buying (right), by years as BEV driver, “don’t know” answers not shown. n</w:t>
      </w:r>
      <w:r w:rsidRPr="00C80645">
        <w:rPr>
          <w:rFonts w:ascii="Arial" w:hAnsi="Arial" w:cs="Arial"/>
          <w:sz w:val="18"/>
          <w:vertAlign w:val="subscript"/>
          <w:lang w:val="en-GB"/>
        </w:rPr>
        <w:t>0-1year</w:t>
      </w:r>
      <w:r w:rsidRPr="00C80645">
        <w:rPr>
          <w:rFonts w:ascii="Arial" w:hAnsi="Arial" w:cs="Arial"/>
          <w:sz w:val="18"/>
          <w:lang w:val="en-GB"/>
        </w:rPr>
        <w:t>=1397, n</w:t>
      </w:r>
      <w:r w:rsidRPr="00C80645">
        <w:rPr>
          <w:rFonts w:ascii="Arial" w:hAnsi="Arial" w:cs="Arial"/>
          <w:sz w:val="18"/>
          <w:vertAlign w:val="subscript"/>
          <w:lang w:val="en-GB"/>
        </w:rPr>
        <w:t>1-2year</w:t>
      </w:r>
      <w:r w:rsidRPr="00C80645">
        <w:rPr>
          <w:rFonts w:ascii="Arial" w:hAnsi="Arial" w:cs="Arial"/>
          <w:sz w:val="18"/>
          <w:lang w:val="en-GB"/>
        </w:rPr>
        <w:t>=807, n</w:t>
      </w:r>
      <w:r w:rsidRPr="00C80645">
        <w:rPr>
          <w:rFonts w:ascii="Arial" w:hAnsi="Arial" w:cs="Arial"/>
          <w:sz w:val="18"/>
          <w:vertAlign w:val="subscript"/>
          <w:lang w:val="en-GB"/>
        </w:rPr>
        <w:t>2-5year</w:t>
      </w:r>
      <w:r w:rsidRPr="00C80645">
        <w:rPr>
          <w:rFonts w:ascii="Arial" w:hAnsi="Arial" w:cs="Arial"/>
          <w:sz w:val="18"/>
          <w:lang w:val="en-GB"/>
        </w:rPr>
        <w:t>=736, n</w:t>
      </w:r>
      <w:r w:rsidRPr="00C80645">
        <w:rPr>
          <w:rFonts w:ascii="Arial" w:hAnsi="Arial" w:cs="Arial"/>
          <w:sz w:val="18"/>
          <w:vertAlign w:val="subscript"/>
          <w:lang w:val="en-GB"/>
        </w:rPr>
        <w:t>5-10year</w:t>
      </w:r>
      <w:r w:rsidRPr="00C80645">
        <w:rPr>
          <w:rFonts w:ascii="Arial" w:hAnsi="Arial" w:cs="Arial"/>
          <w:sz w:val="18"/>
          <w:lang w:val="en-GB"/>
        </w:rPr>
        <w:t>=111, n</w:t>
      </w:r>
      <w:r w:rsidRPr="00C80645">
        <w:rPr>
          <w:rFonts w:ascii="Arial" w:hAnsi="Arial" w:cs="Arial"/>
          <w:sz w:val="18"/>
          <w:vertAlign w:val="subscript"/>
          <w:lang w:val="en-GB"/>
        </w:rPr>
        <w:t>&gt;10year</w:t>
      </w:r>
      <w:r w:rsidRPr="00C80645">
        <w:rPr>
          <w:rFonts w:ascii="Arial" w:hAnsi="Arial" w:cs="Arial"/>
          <w:sz w:val="18"/>
          <w:lang w:val="en-GB"/>
        </w:rPr>
        <w:t xml:space="preserve">=61. </w:t>
      </w:r>
      <w:r w:rsidR="00AB0C94">
        <w:rPr>
          <w:rFonts w:ascii="Arial" w:hAnsi="Arial" w:cs="Arial"/>
          <w:sz w:val="18"/>
          <w:lang w:val="en-GB"/>
        </w:rPr>
        <w:t xml:space="preserve">Source: Figenbaum </w:t>
      </w:r>
      <w:r w:rsidR="00804996">
        <w:rPr>
          <w:rFonts w:ascii="Arial" w:hAnsi="Arial" w:cs="Arial"/>
          <w:sz w:val="18"/>
          <w:lang w:val="en-GB"/>
        </w:rPr>
        <w:t>&amp;</w:t>
      </w:r>
      <w:r w:rsidR="00AB0C94">
        <w:rPr>
          <w:rFonts w:ascii="Arial" w:hAnsi="Arial" w:cs="Arial"/>
          <w:sz w:val="18"/>
          <w:lang w:val="en-GB"/>
        </w:rPr>
        <w:t xml:space="preserve"> Kolbenstvedt 2016.</w:t>
      </w:r>
    </w:p>
    <w:p w14:paraId="57F5FF4C" w14:textId="77777777" w:rsidR="00F329FC" w:rsidRPr="00C80645" w:rsidRDefault="00F329FC" w:rsidP="00F329FC"/>
    <w:p w14:paraId="134FE1A6" w14:textId="26FBFDAB" w:rsidR="00F329FC" w:rsidRPr="00C80645" w:rsidRDefault="00F329FC" w:rsidP="00F329FC">
      <w:r w:rsidRPr="00C80645">
        <w:t xml:space="preserve">Change agents </w:t>
      </w:r>
      <w:r w:rsidR="00CE6ACA" w:rsidRPr="00C80645">
        <w:t xml:space="preserve">may </w:t>
      </w:r>
      <w:r w:rsidRPr="00C80645">
        <w:t>influence the rate of adoption of innovations</w:t>
      </w:r>
      <w:r w:rsidR="00CE6ACA" w:rsidRPr="00C80645">
        <w:t xml:space="preserve"> according to </w:t>
      </w:r>
      <w:r w:rsidRPr="00C80645">
        <w:t xml:space="preserve">Rogers </w:t>
      </w:r>
      <w:r w:rsidR="00CE6ACA" w:rsidRPr="00C80645">
        <w:t>(</w:t>
      </w:r>
      <w:r w:rsidRPr="00C80645">
        <w:t>1995). In Norway, several types of change agents active in targeting increased BEV adoption</w:t>
      </w:r>
      <w:r w:rsidR="00CE6ACA" w:rsidRPr="00C80645">
        <w:t>, have been operational</w:t>
      </w:r>
      <w:r w:rsidR="00857990">
        <w:t xml:space="preserve">. </w:t>
      </w:r>
      <w:r w:rsidR="00AA199E" w:rsidRPr="00C80645">
        <w:t>T</w:t>
      </w:r>
      <w:r w:rsidRPr="00C80645">
        <w:t xml:space="preserve">ransnova, </w:t>
      </w:r>
      <w:r w:rsidR="00375F9B">
        <w:t>(</w:t>
      </w:r>
      <w:r w:rsidRPr="00C80645">
        <w:t>a government agency operation from 2009 to 2014</w:t>
      </w:r>
      <w:r w:rsidR="00375F9B">
        <w:t xml:space="preserve">, </w:t>
      </w:r>
      <w:r w:rsidR="00CE6ACA" w:rsidRPr="00C80645">
        <w:t xml:space="preserve">now </w:t>
      </w:r>
      <w:r w:rsidR="00857990">
        <w:t>transferred to Enova), promoted</w:t>
      </w:r>
      <w:r w:rsidRPr="00C80645">
        <w:t xml:space="preserve"> cleaner energy and </w:t>
      </w:r>
      <w:r w:rsidR="00857990">
        <w:t xml:space="preserve">charging infrastructure deployment </w:t>
      </w:r>
      <w:r w:rsidRPr="00C80645">
        <w:t>and demonstration</w:t>
      </w:r>
      <w:r w:rsidR="00CE6ACA" w:rsidRPr="00C80645">
        <w:t>s</w:t>
      </w:r>
      <w:r w:rsidRPr="00C80645">
        <w:t xml:space="preserve">. </w:t>
      </w:r>
      <w:r w:rsidR="00CE6ACA" w:rsidRPr="00C80645">
        <w:t>Grønn bil</w:t>
      </w:r>
      <w:r w:rsidRPr="00C80645">
        <w:t xml:space="preserve"> was an organization funded by Transnova that nudged fleets to adopt BEVs (Assum</w:t>
      </w:r>
      <w:r w:rsidR="00375F9B">
        <w:t xml:space="preserve"> et al</w:t>
      </w:r>
      <w:r w:rsidRPr="00C80645">
        <w:t xml:space="preserve"> 2014). The EV association is a change agent promoting BEVs </w:t>
      </w:r>
      <w:r w:rsidR="00AA199E" w:rsidRPr="00C80645">
        <w:t xml:space="preserve">and </w:t>
      </w:r>
      <w:r w:rsidRPr="00C80645">
        <w:t xml:space="preserve">keeping guard over the political framework for BEVs </w:t>
      </w:r>
      <w:r w:rsidR="00375F9B">
        <w:t>(I</w:t>
      </w:r>
      <w:r w:rsidR="00857990">
        <w:t>bid)</w:t>
      </w:r>
      <w:r w:rsidRPr="00C80645">
        <w:t xml:space="preserve">. It is also a change aide supporting members for instance with </w:t>
      </w:r>
      <w:r w:rsidR="00565BDF" w:rsidRPr="00C80645">
        <w:t>a charging infrastruc</w:t>
      </w:r>
      <w:r w:rsidR="00CE6ACA" w:rsidRPr="00C80645">
        <w:t>tur</w:t>
      </w:r>
      <w:r w:rsidR="00565BDF" w:rsidRPr="00C80645">
        <w:t>e</w:t>
      </w:r>
      <w:r w:rsidRPr="00C80645">
        <w:t xml:space="preserve"> database </w:t>
      </w:r>
      <w:r w:rsidR="00565BDF" w:rsidRPr="00C80645">
        <w:t xml:space="preserve">and a </w:t>
      </w:r>
      <w:r w:rsidRPr="00C80645">
        <w:t>guide for buying BEVs (</w:t>
      </w:r>
      <w:r w:rsidR="00375F9B">
        <w:t>Ibid</w:t>
      </w:r>
      <w:r w:rsidRPr="00C80645">
        <w:t xml:space="preserve"> 2014). </w:t>
      </w:r>
      <w:r w:rsidR="00375F9B">
        <w:t xml:space="preserve">Both environmental and car owner </w:t>
      </w:r>
      <w:r w:rsidR="00AA199E" w:rsidRPr="00C80645">
        <w:t>NGOs have</w:t>
      </w:r>
      <w:r w:rsidRPr="00C80645">
        <w:t xml:space="preserve"> </w:t>
      </w:r>
      <w:r w:rsidR="00AA199E" w:rsidRPr="00C80645">
        <w:t>acted</w:t>
      </w:r>
      <w:r w:rsidRPr="00C80645">
        <w:t xml:space="preserve"> as change agents</w:t>
      </w:r>
      <w:r w:rsidR="00852F48">
        <w:t xml:space="preserve"> by</w:t>
      </w:r>
      <w:r w:rsidRPr="00C80645">
        <w:t xml:space="preserve"> successfully lobbying to get the registration tax exemption for the first BEV imported to Norway in 1990</w:t>
      </w:r>
      <w:r w:rsidR="00852F48">
        <w:t>,</w:t>
      </w:r>
      <w:r w:rsidRPr="00C80645">
        <w:t xml:space="preserve"> and toll road </w:t>
      </w:r>
      <w:r w:rsidR="00565BDF" w:rsidRPr="00C80645">
        <w:t>exemption</w:t>
      </w:r>
      <w:r w:rsidRPr="00C80645">
        <w:t xml:space="preserve"> in Oslo in 1997 </w:t>
      </w:r>
      <w:r w:rsidR="00CE6ACA" w:rsidRPr="00C80645">
        <w:t xml:space="preserve">(Figenbaum &amp; Kolbenstvedt 2013) </w:t>
      </w:r>
      <w:r w:rsidR="00852F48">
        <w:t>T</w:t>
      </w:r>
      <w:r w:rsidR="00CE6ACA" w:rsidRPr="00C80645">
        <w:t>ogether with</w:t>
      </w:r>
      <w:r w:rsidRPr="00C80645">
        <w:t xml:space="preserve"> </w:t>
      </w:r>
      <w:r w:rsidR="00375F9B">
        <w:t>m</w:t>
      </w:r>
      <w:r w:rsidRPr="00C80645">
        <w:t>unicipalities such as Oslo and Stavanger</w:t>
      </w:r>
      <w:r w:rsidR="00852F48">
        <w:t xml:space="preserve"> they</w:t>
      </w:r>
      <w:r w:rsidRPr="00C80645">
        <w:t xml:space="preserve"> </w:t>
      </w:r>
      <w:r w:rsidR="00CE6ACA" w:rsidRPr="00C80645">
        <w:t xml:space="preserve">lobbied </w:t>
      </w:r>
      <w:r w:rsidRPr="00C80645">
        <w:t xml:space="preserve">the government to allow free parking </w:t>
      </w:r>
      <w:r w:rsidR="00852F48">
        <w:t xml:space="preserve">for BEVs </w:t>
      </w:r>
      <w:r w:rsidRPr="00C80645">
        <w:t xml:space="preserve">from 1999 (Asphjell et al 2013). </w:t>
      </w:r>
      <w:r w:rsidR="00CE6ACA" w:rsidRPr="00C80645">
        <w:t>Some</w:t>
      </w:r>
      <w:r w:rsidRPr="00C80645">
        <w:t xml:space="preserve"> vehicle importers cooperate actively with </w:t>
      </w:r>
      <w:r w:rsidR="00565BDF" w:rsidRPr="00C80645">
        <w:t>these</w:t>
      </w:r>
      <w:r w:rsidRPr="00C80645">
        <w:t xml:space="preserve"> organizations (Assum</w:t>
      </w:r>
      <w:r w:rsidR="00375F9B">
        <w:t xml:space="preserve"> et al</w:t>
      </w:r>
      <w:r w:rsidRPr="00C80645">
        <w:t xml:space="preserve"> 2014),</w:t>
      </w:r>
      <w:r w:rsidR="00CE6ACA" w:rsidRPr="00C80645">
        <w:t xml:space="preserve"> and </w:t>
      </w:r>
      <w:r w:rsidR="00852F48">
        <w:t xml:space="preserve">BEV </w:t>
      </w:r>
      <w:r w:rsidR="00CE6ACA" w:rsidRPr="00C80645">
        <w:t xml:space="preserve">dealers give buyers free </w:t>
      </w:r>
      <w:r w:rsidRPr="00C80645">
        <w:t>membership in the EV association</w:t>
      </w:r>
      <w:r w:rsidR="00CE6ACA" w:rsidRPr="00C80645">
        <w:t xml:space="preserve">. </w:t>
      </w:r>
    </w:p>
    <w:p w14:paraId="7A906B60" w14:textId="77777777" w:rsidR="00120183" w:rsidRPr="00C80645" w:rsidRDefault="00120183" w:rsidP="00F329FC"/>
    <w:p w14:paraId="11744C6C" w14:textId="72EA61F8" w:rsidR="00607475" w:rsidRDefault="00120183" w:rsidP="00607475">
      <w:r w:rsidRPr="00C80645">
        <w:t xml:space="preserve">A network of business and change agents pulling in the same direction has thus been established </w:t>
      </w:r>
      <w:r w:rsidR="00852F48">
        <w:t xml:space="preserve">substantially </w:t>
      </w:r>
      <w:r w:rsidRPr="00C80645">
        <w:t>aiding</w:t>
      </w:r>
      <w:r w:rsidR="00852F48">
        <w:t xml:space="preserve"> and smoothening</w:t>
      </w:r>
      <w:r w:rsidRPr="00C80645">
        <w:t xml:space="preserve"> the diffusion process.</w:t>
      </w:r>
    </w:p>
    <w:p w14:paraId="13F022FB" w14:textId="77777777" w:rsidR="00E2283F" w:rsidRPr="00C80645" w:rsidRDefault="00E2283F" w:rsidP="00607475"/>
    <w:p w14:paraId="35A4792B" w14:textId="77777777" w:rsidR="00607475" w:rsidRPr="00C80645" w:rsidRDefault="00607475" w:rsidP="00D5319F">
      <w:pPr>
        <w:pStyle w:val="Overskrift2"/>
      </w:pPr>
      <w:bookmarkStart w:id="26" w:name="_Toc408238271"/>
      <w:bookmarkStart w:id="27" w:name="_Toc420068410"/>
      <w:bookmarkStart w:id="28" w:name="_Toc408840279"/>
      <w:bookmarkStart w:id="29" w:name="_Toc409423982"/>
      <w:bookmarkEnd w:id="26"/>
      <w:r w:rsidRPr="00C80645">
        <w:lastRenderedPageBreak/>
        <w:t>User perception</w:t>
      </w:r>
      <w:bookmarkEnd w:id="27"/>
      <w:r w:rsidRPr="00C80645">
        <w:t xml:space="preserve"> </w:t>
      </w:r>
      <w:bookmarkEnd w:id="28"/>
      <w:bookmarkEnd w:id="29"/>
    </w:p>
    <w:p w14:paraId="01C9275D" w14:textId="77777777" w:rsidR="00607475" w:rsidRPr="00C80645" w:rsidRDefault="00607475" w:rsidP="00CA3D7A">
      <w:pPr>
        <w:rPr>
          <w:b/>
        </w:rPr>
      </w:pPr>
      <w:r w:rsidRPr="00C80645">
        <w:rPr>
          <w:b/>
        </w:rPr>
        <w:t>Relative advantage</w:t>
      </w:r>
    </w:p>
    <w:p w14:paraId="1CF7CBDE" w14:textId="6E0F3FD8" w:rsidR="00684808" w:rsidRDefault="00607475" w:rsidP="00992E00">
      <w:r w:rsidRPr="00C80645">
        <w:t xml:space="preserve">The </w:t>
      </w:r>
      <w:r w:rsidR="0009416D" w:rsidRPr="00C80645">
        <w:t xml:space="preserve">users </w:t>
      </w:r>
      <w:r w:rsidRPr="00C80645">
        <w:t xml:space="preserve">relative advantage </w:t>
      </w:r>
      <w:r w:rsidR="0009416D" w:rsidRPr="00C80645">
        <w:t xml:space="preserve">of taking a technology into use </w:t>
      </w:r>
      <w:r w:rsidRPr="00C80645">
        <w:t xml:space="preserve">is </w:t>
      </w:r>
      <w:r w:rsidR="00AA43B6">
        <w:t xml:space="preserve">the most </w:t>
      </w:r>
      <w:r w:rsidRPr="00C80645">
        <w:t xml:space="preserve">important factor in </w:t>
      </w:r>
      <w:r w:rsidR="0009416D" w:rsidRPr="00C80645">
        <w:t>a</w:t>
      </w:r>
      <w:r w:rsidRPr="00C80645">
        <w:t xml:space="preserve"> diffusion process</w:t>
      </w:r>
      <w:r w:rsidR="00AA43B6">
        <w:t>. T</w:t>
      </w:r>
      <w:r w:rsidR="0009416D" w:rsidRPr="00C80645">
        <w:t xml:space="preserve">able </w:t>
      </w:r>
      <w:r w:rsidR="0072089D">
        <w:t>3</w:t>
      </w:r>
      <w:r w:rsidR="00684808" w:rsidRPr="00C80645">
        <w:t xml:space="preserve"> illustrates how the Norwegian incentives aid in turning BEV ownership into an </w:t>
      </w:r>
      <w:r w:rsidR="00992E00" w:rsidRPr="00C80645">
        <w:t>a</w:t>
      </w:r>
      <w:r w:rsidR="00684808" w:rsidRPr="00C80645">
        <w:t>dvantage already for the first vehicle owner, thus being key to the Norwegian BEV success.</w:t>
      </w:r>
    </w:p>
    <w:p w14:paraId="5A114378" w14:textId="77777777" w:rsidR="00852F48" w:rsidRPr="00C80645" w:rsidRDefault="00852F48" w:rsidP="00992E00"/>
    <w:p w14:paraId="47B335A7" w14:textId="2CBC6C60" w:rsidR="00852F48" w:rsidRPr="00C80645" w:rsidRDefault="00852F48" w:rsidP="00852F48">
      <w:pPr>
        <w:spacing w:line="276" w:lineRule="auto"/>
        <w:rPr>
          <w:bCs/>
          <w:i/>
          <w:sz w:val="18"/>
          <w:szCs w:val="18"/>
          <w:lang w:eastAsia="nb-NO"/>
        </w:rPr>
      </w:pPr>
      <w:r w:rsidRPr="00C80645">
        <w:rPr>
          <w:i/>
          <w:sz w:val="18"/>
        </w:rPr>
        <w:t xml:space="preserve">Table </w:t>
      </w:r>
      <w:r>
        <w:rPr>
          <w:i/>
          <w:sz w:val="18"/>
        </w:rPr>
        <w:t>3</w:t>
      </w:r>
      <w:r w:rsidRPr="00C80645">
        <w:rPr>
          <w:i/>
          <w:sz w:val="18"/>
        </w:rPr>
        <w:t xml:space="preserve"> Elements of Relative advantage. A</w:t>
      </w:r>
      <w:r>
        <w:rPr>
          <w:i/>
          <w:sz w:val="18"/>
        </w:rPr>
        <w:t>uthors overall a</w:t>
      </w:r>
      <w:r w:rsidRPr="00C80645">
        <w:rPr>
          <w:i/>
          <w:sz w:val="18"/>
        </w:rPr>
        <w:t>ssessment of first owners’ evaluation of the potential of each element without and with the Norwegian BEV incentives.</w:t>
      </w:r>
      <w:r>
        <w:rPr>
          <w:i/>
          <w:sz w:val="18"/>
        </w:rPr>
        <w:t xml:space="preserve"> </w:t>
      </w:r>
      <w:r w:rsidR="000C3164">
        <w:rPr>
          <w:i/>
          <w:sz w:val="18"/>
        </w:rPr>
        <w:t>Adapted from Figenbaum and Kolbenstvedt 2015a.</w:t>
      </w:r>
    </w:p>
    <w:tbl>
      <w:tblPr>
        <w:tblStyle w:val="Enkelttabell1"/>
        <w:tblW w:w="5000" w:type="pct"/>
        <w:tblLook w:val="04A0" w:firstRow="1" w:lastRow="0" w:firstColumn="1" w:lastColumn="0" w:noHBand="0" w:noVBand="1"/>
      </w:tblPr>
      <w:tblGrid>
        <w:gridCol w:w="1719"/>
        <w:gridCol w:w="2866"/>
        <w:gridCol w:w="3727"/>
      </w:tblGrid>
      <w:tr w:rsidR="00852F48" w:rsidRPr="00C80645" w14:paraId="6DD573F7" w14:textId="77777777" w:rsidTr="00D83599">
        <w:trPr>
          <w:cnfStyle w:val="100000000000" w:firstRow="1" w:lastRow="0" w:firstColumn="0" w:lastColumn="0" w:oddVBand="0" w:evenVBand="0" w:oddHBand="0" w:evenHBand="0" w:firstRowFirstColumn="0" w:firstRowLastColumn="0" w:lastRowFirstColumn="0" w:lastRowLastColumn="0"/>
        </w:trPr>
        <w:tc>
          <w:tcPr>
            <w:tcW w:w="1034" w:type="pct"/>
          </w:tcPr>
          <w:p w14:paraId="411E27BA" w14:textId="77777777" w:rsidR="00852F48" w:rsidRPr="00C80645" w:rsidRDefault="00852F48" w:rsidP="00D83599">
            <w:pPr>
              <w:rPr>
                <w:b/>
                <w:sz w:val="16"/>
                <w:szCs w:val="16"/>
                <w:lang w:val="en-GB"/>
              </w:rPr>
            </w:pPr>
            <w:r>
              <w:rPr>
                <w:b/>
                <w:sz w:val="16"/>
                <w:szCs w:val="16"/>
                <w:lang w:val="en-GB"/>
              </w:rPr>
              <w:t>Elements of</w:t>
            </w:r>
            <w:r w:rsidRPr="00C80645">
              <w:rPr>
                <w:b/>
                <w:sz w:val="16"/>
                <w:szCs w:val="16"/>
                <w:lang w:val="en-GB"/>
              </w:rPr>
              <w:t xml:space="preserve"> relative advantage </w:t>
            </w:r>
          </w:p>
        </w:tc>
        <w:tc>
          <w:tcPr>
            <w:tcW w:w="1724" w:type="pct"/>
          </w:tcPr>
          <w:p w14:paraId="3CE6DF2A" w14:textId="77777777" w:rsidR="00852F48" w:rsidRPr="00C80645" w:rsidRDefault="00852F48" w:rsidP="00D83599">
            <w:pPr>
              <w:rPr>
                <w:b/>
                <w:sz w:val="16"/>
                <w:szCs w:val="16"/>
                <w:lang w:val="en-GB"/>
              </w:rPr>
            </w:pPr>
            <w:r w:rsidRPr="00C80645">
              <w:rPr>
                <w:b/>
                <w:sz w:val="16"/>
                <w:szCs w:val="16"/>
                <w:lang w:val="en-GB"/>
              </w:rPr>
              <w:t>Without incentives</w:t>
            </w:r>
          </w:p>
        </w:tc>
        <w:tc>
          <w:tcPr>
            <w:tcW w:w="2242" w:type="pct"/>
          </w:tcPr>
          <w:p w14:paraId="000C2AE0" w14:textId="77777777" w:rsidR="00852F48" w:rsidRPr="00C80645" w:rsidRDefault="00852F48" w:rsidP="00D83599">
            <w:pPr>
              <w:rPr>
                <w:b/>
                <w:sz w:val="16"/>
                <w:szCs w:val="16"/>
                <w:lang w:val="en-GB"/>
              </w:rPr>
            </w:pPr>
            <w:r w:rsidRPr="00C80645">
              <w:rPr>
                <w:b/>
                <w:sz w:val="16"/>
                <w:szCs w:val="16"/>
                <w:lang w:val="en-GB"/>
              </w:rPr>
              <w:t xml:space="preserve">With Norwegian incentives </w:t>
            </w:r>
          </w:p>
        </w:tc>
      </w:tr>
      <w:tr w:rsidR="00852F48" w:rsidRPr="00C80645" w14:paraId="45B0D861" w14:textId="77777777" w:rsidTr="00D83599">
        <w:tc>
          <w:tcPr>
            <w:tcW w:w="1034" w:type="pct"/>
          </w:tcPr>
          <w:p w14:paraId="30CECB76" w14:textId="77777777" w:rsidR="00852F48" w:rsidRPr="00C80645" w:rsidRDefault="00852F48" w:rsidP="00D83599">
            <w:pPr>
              <w:rPr>
                <w:sz w:val="16"/>
                <w:szCs w:val="16"/>
                <w:lang w:val="en-GB"/>
              </w:rPr>
            </w:pPr>
            <w:r w:rsidRPr="00C80645">
              <w:rPr>
                <w:sz w:val="16"/>
                <w:szCs w:val="16"/>
                <w:lang w:val="en-GB"/>
              </w:rPr>
              <w:t>Economic profitability</w:t>
            </w:r>
          </w:p>
        </w:tc>
        <w:tc>
          <w:tcPr>
            <w:tcW w:w="1724" w:type="pct"/>
          </w:tcPr>
          <w:p w14:paraId="08603162" w14:textId="77777777" w:rsidR="00852F48" w:rsidRPr="00C80645" w:rsidRDefault="00852F48" w:rsidP="00D83599">
            <w:pPr>
              <w:rPr>
                <w:sz w:val="16"/>
                <w:szCs w:val="16"/>
                <w:lang w:val="en-GB"/>
              </w:rPr>
            </w:pPr>
            <w:r w:rsidRPr="00C80645">
              <w:rPr>
                <w:sz w:val="16"/>
                <w:szCs w:val="16"/>
                <w:lang w:val="en-GB"/>
              </w:rPr>
              <w:t xml:space="preserve">Vehicles are too expensive and expected second hand value after 3-5 years is low. </w:t>
            </w:r>
          </w:p>
          <w:p w14:paraId="6D5322F6" w14:textId="77777777" w:rsidR="00852F48" w:rsidRPr="00C80645" w:rsidRDefault="00852F48" w:rsidP="00D83599">
            <w:pPr>
              <w:rPr>
                <w:sz w:val="16"/>
                <w:szCs w:val="16"/>
                <w:lang w:val="en-GB"/>
              </w:rPr>
            </w:pPr>
            <w:r w:rsidRPr="00C80645">
              <w:rPr>
                <w:sz w:val="16"/>
                <w:szCs w:val="16"/>
                <w:lang w:val="en-GB"/>
              </w:rPr>
              <w:t xml:space="preserve"> </w:t>
            </w:r>
          </w:p>
        </w:tc>
        <w:tc>
          <w:tcPr>
            <w:tcW w:w="2242" w:type="pct"/>
          </w:tcPr>
          <w:p w14:paraId="29713792" w14:textId="77777777" w:rsidR="00852F48" w:rsidRPr="00C80645" w:rsidRDefault="00852F48" w:rsidP="00D83599">
            <w:pPr>
              <w:rPr>
                <w:sz w:val="16"/>
                <w:szCs w:val="16"/>
                <w:lang w:val="en-GB"/>
              </w:rPr>
            </w:pPr>
            <w:r w:rsidRPr="00C80645">
              <w:rPr>
                <w:sz w:val="16"/>
                <w:szCs w:val="16"/>
                <w:lang w:val="en-GB"/>
              </w:rPr>
              <w:t>Profitable for first owner, but the risk of second-hand value still relevant. Vehicles bought 2010-11 have potentially been unprofitable even in Norway due to the falling new-vehicle prices.</w:t>
            </w:r>
          </w:p>
          <w:p w14:paraId="776DADC8" w14:textId="77777777" w:rsidR="00852F48" w:rsidRPr="00C80645" w:rsidRDefault="00852F48" w:rsidP="00D83599">
            <w:pPr>
              <w:rPr>
                <w:sz w:val="16"/>
                <w:szCs w:val="16"/>
                <w:lang w:val="en-GB"/>
              </w:rPr>
            </w:pPr>
          </w:p>
        </w:tc>
      </w:tr>
      <w:tr w:rsidR="00852F48" w:rsidRPr="00C80645" w14:paraId="63B91925" w14:textId="77777777" w:rsidTr="00D83599">
        <w:tc>
          <w:tcPr>
            <w:tcW w:w="1034" w:type="pct"/>
          </w:tcPr>
          <w:p w14:paraId="2C69CB7E" w14:textId="77777777" w:rsidR="00852F48" w:rsidRPr="00C80645" w:rsidRDefault="00852F48" w:rsidP="00D83599">
            <w:pPr>
              <w:rPr>
                <w:sz w:val="16"/>
                <w:szCs w:val="16"/>
                <w:lang w:val="en-GB"/>
              </w:rPr>
            </w:pPr>
            <w:r w:rsidRPr="00C80645">
              <w:rPr>
                <w:sz w:val="16"/>
                <w:szCs w:val="16"/>
                <w:lang w:val="en-GB"/>
              </w:rPr>
              <w:t>Low initial cost</w:t>
            </w:r>
          </w:p>
        </w:tc>
        <w:tc>
          <w:tcPr>
            <w:tcW w:w="1724" w:type="pct"/>
          </w:tcPr>
          <w:p w14:paraId="71B07AD6" w14:textId="77777777" w:rsidR="00852F48" w:rsidRPr="00C80645" w:rsidRDefault="00852F48" w:rsidP="00D83599">
            <w:pPr>
              <w:rPr>
                <w:sz w:val="16"/>
                <w:szCs w:val="16"/>
                <w:lang w:val="en-GB"/>
              </w:rPr>
            </w:pPr>
            <w:r w:rsidRPr="00C80645">
              <w:rPr>
                <w:sz w:val="16"/>
                <w:szCs w:val="16"/>
                <w:lang w:val="en-GB"/>
              </w:rPr>
              <w:t>BEVs are more expensive than ICEVs. Value added tax expands the cost gap.</w:t>
            </w:r>
          </w:p>
          <w:p w14:paraId="1A654A52" w14:textId="77777777" w:rsidR="00852F48" w:rsidRPr="00C80645" w:rsidRDefault="00852F48" w:rsidP="00D83599">
            <w:pPr>
              <w:rPr>
                <w:sz w:val="16"/>
                <w:szCs w:val="16"/>
                <w:lang w:val="en-GB"/>
              </w:rPr>
            </w:pPr>
          </w:p>
        </w:tc>
        <w:tc>
          <w:tcPr>
            <w:tcW w:w="2242" w:type="pct"/>
          </w:tcPr>
          <w:p w14:paraId="3AE0F8E4" w14:textId="77777777" w:rsidR="00852F48" w:rsidRPr="00C80645" w:rsidRDefault="00852F48" w:rsidP="00D83599">
            <w:pPr>
              <w:rPr>
                <w:sz w:val="16"/>
                <w:szCs w:val="16"/>
                <w:lang w:val="en-GB"/>
              </w:rPr>
            </w:pPr>
            <w:r w:rsidRPr="00C80645">
              <w:rPr>
                <w:sz w:val="16"/>
                <w:szCs w:val="16"/>
                <w:lang w:val="en-GB"/>
              </w:rPr>
              <w:t>Equalizes the price in smaller vehicle segments and make BEVs cheaper than ICEVs for larger vehicles</w:t>
            </w:r>
          </w:p>
        </w:tc>
      </w:tr>
      <w:tr w:rsidR="00852F48" w:rsidRPr="00C80645" w14:paraId="3D3CCAB6" w14:textId="77777777" w:rsidTr="00D83599">
        <w:tc>
          <w:tcPr>
            <w:tcW w:w="1034" w:type="pct"/>
          </w:tcPr>
          <w:p w14:paraId="4F0683DF" w14:textId="77777777" w:rsidR="00852F48" w:rsidRPr="00C80645" w:rsidRDefault="00852F48" w:rsidP="00D83599">
            <w:pPr>
              <w:rPr>
                <w:sz w:val="16"/>
                <w:szCs w:val="16"/>
                <w:lang w:val="en-GB"/>
              </w:rPr>
            </w:pPr>
            <w:r>
              <w:rPr>
                <w:sz w:val="16"/>
                <w:szCs w:val="16"/>
                <w:lang w:val="en-GB"/>
              </w:rPr>
              <w:t>D</w:t>
            </w:r>
            <w:r w:rsidRPr="00C80645">
              <w:rPr>
                <w:sz w:val="16"/>
                <w:szCs w:val="16"/>
                <w:lang w:val="en-GB"/>
              </w:rPr>
              <w:t>ecrease in discomfort</w:t>
            </w:r>
          </w:p>
        </w:tc>
        <w:tc>
          <w:tcPr>
            <w:tcW w:w="1724" w:type="pct"/>
          </w:tcPr>
          <w:p w14:paraId="47FDDD46" w14:textId="77777777" w:rsidR="00852F48" w:rsidRPr="00C80645" w:rsidRDefault="00852F48" w:rsidP="00D83599">
            <w:pPr>
              <w:rPr>
                <w:sz w:val="16"/>
                <w:szCs w:val="16"/>
                <w:lang w:val="en-GB"/>
              </w:rPr>
            </w:pPr>
            <w:r w:rsidRPr="00C80645">
              <w:rPr>
                <w:sz w:val="16"/>
                <w:szCs w:val="16"/>
                <w:lang w:val="en-GB"/>
              </w:rPr>
              <w:t xml:space="preserve">Discomfort due to range limitations although many uses are compatible with range limits. </w:t>
            </w:r>
          </w:p>
        </w:tc>
        <w:tc>
          <w:tcPr>
            <w:tcW w:w="2242" w:type="pct"/>
          </w:tcPr>
          <w:p w14:paraId="711EA968" w14:textId="77777777" w:rsidR="00852F48" w:rsidRPr="00C80645" w:rsidRDefault="00852F48" w:rsidP="00D83599">
            <w:pPr>
              <w:rPr>
                <w:sz w:val="16"/>
                <w:szCs w:val="16"/>
                <w:lang w:val="en-GB"/>
              </w:rPr>
            </w:pPr>
            <w:r w:rsidRPr="00C80645">
              <w:rPr>
                <w:sz w:val="16"/>
                <w:szCs w:val="16"/>
                <w:lang w:val="en-GB"/>
              </w:rPr>
              <w:t>User advantages ncreased comfort and assur</w:t>
            </w:r>
            <w:r>
              <w:rPr>
                <w:sz w:val="16"/>
                <w:szCs w:val="16"/>
                <w:lang w:val="en-GB"/>
              </w:rPr>
              <w:t>e</w:t>
            </w:r>
            <w:r w:rsidRPr="00C80645">
              <w:rPr>
                <w:sz w:val="16"/>
                <w:szCs w:val="16"/>
                <w:lang w:val="en-GB"/>
              </w:rPr>
              <w:t xml:space="preserve"> that BEVs are in accordance with societal goals. People can afford buying</w:t>
            </w:r>
            <w:r>
              <w:rPr>
                <w:sz w:val="16"/>
                <w:szCs w:val="16"/>
                <w:lang w:val="en-GB"/>
              </w:rPr>
              <w:t>.</w:t>
            </w:r>
            <w:r w:rsidRPr="00C80645">
              <w:rPr>
                <w:sz w:val="16"/>
                <w:szCs w:val="16"/>
                <w:lang w:val="en-GB"/>
              </w:rPr>
              <w:t xml:space="preserve"> Concerns of second-hand value are reduced as owner save on operative costs and incentives. </w:t>
            </w:r>
          </w:p>
          <w:p w14:paraId="4055F8F6" w14:textId="77777777" w:rsidR="00852F48" w:rsidRPr="00C80645" w:rsidRDefault="00852F48" w:rsidP="00D83599">
            <w:pPr>
              <w:rPr>
                <w:sz w:val="16"/>
                <w:szCs w:val="16"/>
                <w:lang w:val="en-GB"/>
              </w:rPr>
            </w:pPr>
          </w:p>
        </w:tc>
      </w:tr>
      <w:tr w:rsidR="00852F48" w:rsidRPr="00C80645" w14:paraId="09E106B0" w14:textId="77777777" w:rsidTr="00D83599">
        <w:tc>
          <w:tcPr>
            <w:tcW w:w="1034" w:type="pct"/>
          </w:tcPr>
          <w:p w14:paraId="60397DAF" w14:textId="77777777" w:rsidR="00852F48" w:rsidRPr="00C80645" w:rsidRDefault="00852F48" w:rsidP="00D83599">
            <w:pPr>
              <w:rPr>
                <w:sz w:val="16"/>
                <w:szCs w:val="16"/>
                <w:lang w:val="en-GB"/>
              </w:rPr>
            </w:pPr>
            <w:r>
              <w:rPr>
                <w:sz w:val="16"/>
                <w:szCs w:val="16"/>
                <w:lang w:val="en-GB"/>
              </w:rPr>
              <w:t>S</w:t>
            </w:r>
            <w:r w:rsidRPr="00C80645">
              <w:rPr>
                <w:sz w:val="16"/>
                <w:szCs w:val="16"/>
                <w:lang w:val="en-GB"/>
              </w:rPr>
              <w:t>aving of time and effort</w:t>
            </w:r>
          </w:p>
        </w:tc>
        <w:tc>
          <w:tcPr>
            <w:tcW w:w="1724" w:type="pct"/>
          </w:tcPr>
          <w:p w14:paraId="18978D0D" w14:textId="77777777" w:rsidR="00852F48" w:rsidRPr="00C80645" w:rsidRDefault="00852F48" w:rsidP="00D83599">
            <w:pPr>
              <w:rPr>
                <w:sz w:val="16"/>
                <w:szCs w:val="16"/>
                <w:lang w:val="en-GB"/>
              </w:rPr>
            </w:pPr>
            <w:r w:rsidRPr="00C80645">
              <w:rPr>
                <w:sz w:val="16"/>
                <w:szCs w:val="16"/>
                <w:lang w:val="en-GB"/>
              </w:rPr>
              <w:t>More effort needed, i.e. planning the transport, range challenges, time to plug in the vehicle, borrowing vehicles when needed.</w:t>
            </w:r>
          </w:p>
        </w:tc>
        <w:tc>
          <w:tcPr>
            <w:tcW w:w="2242" w:type="pct"/>
          </w:tcPr>
          <w:p w14:paraId="090AE379" w14:textId="77777777" w:rsidR="00852F48" w:rsidRPr="00C80645" w:rsidRDefault="00852F48" w:rsidP="00D83599">
            <w:pPr>
              <w:rPr>
                <w:sz w:val="16"/>
                <w:szCs w:val="16"/>
                <w:lang w:val="en-GB"/>
              </w:rPr>
            </w:pPr>
            <w:r w:rsidRPr="00C80645">
              <w:rPr>
                <w:sz w:val="16"/>
                <w:szCs w:val="16"/>
                <w:lang w:val="en-GB"/>
              </w:rPr>
              <w:t>The effort of planning is reduced by time saving using bus lanes. Vehicles are cheap enough to be taken into use by multi vehicle households capable of handling range challenges.</w:t>
            </w:r>
          </w:p>
          <w:p w14:paraId="01C551D5" w14:textId="77777777" w:rsidR="00852F48" w:rsidRPr="00C80645" w:rsidRDefault="00852F48" w:rsidP="00D83599">
            <w:pPr>
              <w:rPr>
                <w:sz w:val="16"/>
                <w:szCs w:val="16"/>
                <w:lang w:val="en-GB"/>
              </w:rPr>
            </w:pPr>
          </w:p>
        </w:tc>
      </w:tr>
      <w:tr w:rsidR="00852F48" w:rsidRPr="00C80645" w14:paraId="1F962BAC" w14:textId="77777777" w:rsidTr="00D83599">
        <w:tc>
          <w:tcPr>
            <w:tcW w:w="1034" w:type="pct"/>
          </w:tcPr>
          <w:p w14:paraId="18CA4B29" w14:textId="77777777" w:rsidR="00852F48" w:rsidRPr="00C80645" w:rsidRDefault="00852F48" w:rsidP="00D83599">
            <w:pPr>
              <w:rPr>
                <w:sz w:val="16"/>
                <w:szCs w:val="16"/>
                <w:lang w:val="en-GB"/>
              </w:rPr>
            </w:pPr>
            <w:r w:rsidRPr="00C80645">
              <w:rPr>
                <w:sz w:val="16"/>
                <w:szCs w:val="16"/>
                <w:lang w:val="en-GB"/>
              </w:rPr>
              <w:t xml:space="preserve">Immediacy of reward. </w:t>
            </w:r>
          </w:p>
        </w:tc>
        <w:tc>
          <w:tcPr>
            <w:tcW w:w="1724" w:type="pct"/>
          </w:tcPr>
          <w:p w14:paraId="23B2175D" w14:textId="77777777" w:rsidR="00852F48" w:rsidRPr="00C80645" w:rsidRDefault="00852F48" w:rsidP="00D83599">
            <w:pPr>
              <w:rPr>
                <w:sz w:val="16"/>
                <w:szCs w:val="16"/>
                <w:lang w:val="en-GB"/>
              </w:rPr>
            </w:pPr>
            <w:r w:rsidRPr="00C80645">
              <w:rPr>
                <w:sz w:val="16"/>
                <w:szCs w:val="16"/>
                <w:lang w:val="en-GB"/>
              </w:rPr>
              <w:t>The vehicle is too expensive and the savings per year on fuel too low, and the second hand value is uncertain.</w:t>
            </w:r>
          </w:p>
        </w:tc>
        <w:tc>
          <w:tcPr>
            <w:tcW w:w="2242" w:type="pct"/>
          </w:tcPr>
          <w:p w14:paraId="02370D37" w14:textId="77777777" w:rsidR="00852F48" w:rsidRPr="00C80645" w:rsidRDefault="00852F48" w:rsidP="00D83599">
            <w:pPr>
              <w:rPr>
                <w:sz w:val="16"/>
                <w:szCs w:val="16"/>
                <w:lang w:val="en-GB"/>
              </w:rPr>
            </w:pPr>
            <w:r w:rsidRPr="00C80645">
              <w:rPr>
                <w:sz w:val="16"/>
                <w:szCs w:val="16"/>
                <w:lang w:val="en-GB"/>
              </w:rPr>
              <w:t>Time and cost savings are immediately achieved with low energy costs, low annual tax, free toll roads, reduced ferry rates and bus lane access.</w:t>
            </w:r>
          </w:p>
          <w:p w14:paraId="15029837" w14:textId="77777777" w:rsidR="00852F48" w:rsidRPr="00C80645" w:rsidRDefault="00852F48" w:rsidP="00D83599">
            <w:pPr>
              <w:rPr>
                <w:sz w:val="16"/>
                <w:szCs w:val="16"/>
                <w:lang w:val="en-GB"/>
              </w:rPr>
            </w:pPr>
          </w:p>
        </w:tc>
      </w:tr>
      <w:tr w:rsidR="00852F48" w:rsidRPr="00C80645" w14:paraId="25623156" w14:textId="77777777" w:rsidTr="00D83599">
        <w:tc>
          <w:tcPr>
            <w:tcW w:w="1034" w:type="pct"/>
          </w:tcPr>
          <w:p w14:paraId="5F16225D" w14:textId="77777777" w:rsidR="00852F48" w:rsidRPr="00C80645" w:rsidRDefault="00852F48" w:rsidP="00D83599">
            <w:pPr>
              <w:rPr>
                <w:sz w:val="16"/>
                <w:szCs w:val="16"/>
                <w:lang w:val="en-GB"/>
              </w:rPr>
            </w:pPr>
            <w:r w:rsidRPr="00C80645">
              <w:rPr>
                <w:sz w:val="16"/>
                <w:szCs w:val="16"/>
                <w:lang w:val="en-GB"/>
              </w:rPr>
              <w:t>Social Prestige</w:t>
            </w:r>
          </w:p>
        </w:tc>
        <w:tc>
          <w:tcPr>
            <w:tcW w:w="1724" w:type="pct"/>
          </w:tcPr>
          <w:p w14:paraId="6F3126CE" w14:textId="77777777" w:rsidR="00852F48" w:rsidRPr="00C80645" w:rsidRDefault="00852F48" w:rsidP="00D83599">
            <w:pPr>
              <w:rPr>
                <w:sz w:val="16"/>
                <w:szCs w:val="16"/>
                <w:lang w:val="en-GB"/>
              </w:rPr>
            </w:pPr>
            <w:r w:rsidRPr="00C80645">
              <w:rPr>
                <w:sz w:val="16"/>
                <w:szCs w:val="16"/>
                <w:lang w:val="en-GB"/>
              </w:rPr>
              <w:t xml:space="preserve">Teslas and BWM i3s give prestige, but basic BEVs could be negative due to poor value proposition? </w:t>
            </w:r>
          </w:p>
          <w:p w14:paraId="4BAAAD43" w14:textId="77777777" w:rsidR="00852F48" w:rsidRPr="00C80645" w:rsidRDefault="00852F48" w:rsidP="00D83599">
            <w:pPr>
              <w:rPr>
                <w:sz w:val="16"/>
                <w:szCs w:val="16"/>
                <w:lang w:val="en-GB"/>
              </w:rPr>
            </w:pPr>
          </w:p>
        </w:tc>
        <w:tc>
          <w:tcPr>
            <w:tcW w:w="2242" w:type="pct"/>
          </w:tcPr>
          <w:p w14:paraId="6DC5CA10" w14:textId="77777777" w:rsidR="00852F48" w:rsidRPr="00C80645" w:rsidRDefault="00852F48" w:rsidP="00D83599">
            <w:pPr>
              <w:rPr>
                <w:sz w:val="16"/>
                <w:szCs w:val="16"/>
                <w:lang w:val="en-GB"/>
              </w:rPr>
            </w:pPr>
            <w:r w:rsidRPr="00C80645">
              <w:rPr>
                <w:sz w:val="16"/>
                <w:szCs w:val="16"/>
                <w:lang w:val="en-GB"/>
              </w:rPr>
              <w:t xml:space="preserve">Everyone can buy a BEV, thus democratizing BEV diffusion, but also reducing social prestige. </w:t>
            </w:r>
          </w:p>
          <w:p w14:paraId="57E5C923" w14:textId="77777777" w:rsidR="00852F48" w:rsidRPr="00C80645" w:rsidRDefault="00852F48" w:rsidP="00D83599">
            <w:pPr>
              <w:rPr>
                <w:sz w:val="16"/>
                <w:szCs w:val="16"/>
                <w:lang w:val="en-GB"/>
              </w:rPr>
            </w:pPr>
          </w:p>
        </w:tc>
      </w:tr>
      <w:tr w:rsidR="00852F48" w:rsidRPr="00C80645" w14:paraId="3DF0AB0B" w14:textId="77777777" w:rsidTr="00D83599">
        <w:tc>
          <w:tcPr>
            <w:tcW w:w="1034" w:type="pct"/>
          </w:tcPr>
          <w:p w14:paraId="430B801E" w14:textId="77777777" w:rsidR="00852F48" w:rsidRPr="00C80645" w:rsidRDefault="00852F48" w:rsidP="00D83599">
            <w:pPr>
              <w:rPr>
                <w:sz w:val="16"/>
                <w:szCs w:val="16"/>
                <w:lang w:val="en-GB"/>
              </w:rPr>
            </w:pPr>
            <w:r w:rsidRPr="00C80645">
              <w:rPr>
                <w:sz w:val="16"/>
                <w:szCs w:val="16"/>
                <w:lang w:val="en-GB"/>
              </w:rPr>
              <w:t>Environmental prestige</w:t>
            </w:r>
          </w:p>
        </w:tc>
        <w:tc>
          <w:tcPr>
            <w:tcW w:w="1724" w:type="pct"/>
          </w:tcPr>
          <w:p w14:paraId="2B3ECA81" w14:textId="77777777" w:rsidR="00852F48" w:rsidRPr="00C80645" w:rsidRDefault="00852F48" w:rsidP="00D83599">
            <w:pPr>
              <w:rPr>
                <w:sz w:val="16"/>
                <w:szCs w:val="16"/>
                <w:lang w:val="en-GB"/>
              </w:rPr>
            </w:pPr>
            <w:r w:rsidRPr="00C80645">
              <w:rPr>
                <w:sz w:val="16"/>
                <w:szCs w:val="16"/>
                <w:lang w:val="en-GB"/>
              </w:rPr>
              <w:t>Not a dominating motive initially</w:t>
            </w:r>
          </w:p>
        </w:tc>
        <w:tc>
          <w:tcPr>
            <w:tcW w:w="2242" w:type="pct"/>
          </w:tcPr>
          <w:p w14:paraId="22EB74E8" w14:textId="77777777" w:rsidR="00852F48" w:rsidRPr="00C80645" w:rsidRDefault="00852F48" w:rsidP="00D83599">
            <w:pPr>
              <w:rPr>
                <w:sz w:val="16"/>
                <w:szCs w:val="16"/>
                <w:lang w:val="en-GB"/>
              </w:rPr>
            </w:pPr>
            <w:r w:rsidRPr="00C80645">
              <w:rPr>
                <w:sz w:val="16"/>
                <w:szCs w:val="16"/>
                <w:lang w:val="en-GB"/>
              </w:rPr>
              <w:t xml:space="preserve">Increase as a motive after buying a BEV. A possible negative factor is that it becomes easier (morally) to justify buying a second car. </w:t>
            </w:r>
          </w:p>
        </w:tc>
      </w:tr>
    </w:tbl>
    <w:p w14:paraId="6954B626" w14:textId="77777777" w:rsidR="00CA3D7A" w:rsidRPr="00C80645" w:rsidRDefault="00CA3D7A" w:rsidP="00684808">
      <w:pPr>
        <w:spacing w:before="60"/>
      </w:pPr>
    </w:p>
    <w:p w14:paraId="71DCD0FA" w14:textId="77777777" w:rsidR="00CA3D7A" w:rsidRPr="00C80645" w:rsidRDefault="00CA3D7A" w:rsidP="00CA3D7A">
      <w:pPr>
        <w:rPr>
          <w:b/>
        </w:rPr>
      </w:pPr>
      <w:r w:rsidRPr="00C80645">
        <w:rPr>
          <w:b/>
        </w:rPr>
        <w:t>Compatibility and complexity</w:t>
      </w:r>
    </w:p>
    <w:p w14:paraId="62FC4804" w14:textId="2366126B" w:rsidR="00CA3D7A" w:rsidRPr="00C80645" w:rsidRDefault="00CA3D7A" w:rsidP="00CA3D7A">
      <w:r w:rsidRPr="00C80645">
        <w:t>A BEV is driven and controlled as an ICEV with automatic gear, and is sold and serviced through regular OEM dealers. Short range and long charging times</w:t>
      </w:r>
      <w:r w:rsidR="00992E00" w:rsidRPr="00C80645">
        <w:t xml:space="preserve"> lead to a need to recharge the vehicle at home. These</w:t>
      </w:r>
      <w:r w:rsidRPr="00C80645">
        <w:t xml:space="preserve"> main incompatibilities of BEVs </w:t>
      </w:r>
      <w:r w:rsidR="00992E00" w:rsidRPr="00C80645">
        <w:t xml:space="preserve">compared to ICEVs </w:t>
      </w:r>
      <w:r w:rsidRPr="00C80645">
        <w:t>have proven to be tolerable in households having access to more than one vehicle</w:t>
      </w:r>
      <w:r w:rsidR="00992E00" w:rsidRPr="00C80645">
        <w:t>. A</w:t>
      </w:r>
      <w:r w:rsidRPr="00C80645">
        <w:t>bout half the vehicle owning households in Norway (Hjorthol et al 2014)</w:t>
      </w:r>
      <w:r w:rsidR="00992E00" w:rsidRPr="00C80645">
        <w:t xml:space="preserve"> own more than one vehicle</w:t>
      </w:r>
      <w:r w:rsidR="00AA43B6">
        <w:t xml:space="preserve">. </w:t>
      </w:r>
      <w:r w:rsidR="00AA43B6" w:rsidRPr="00C80645">
        <w:t>21-25% of BEV owners only have the BEV in the household (Figenbaum</w:t>
      </w:r>
      <w:r w:rsidR="00AA43B6">
        <w:t xml:space="preserve"> et al </w:t>
      </w:r>
      <w:r w:rsidR="00AA43B6" w:rsidRPr="00C80645">
        <w:t>2014)</w:t>
      </w:r>
      <w:r w:rsidR="00AA43B6">
        <w:t xml:space="preserve">. </w:t>
      </w:r>
      <w:r w:rsidRPr="00C80645">
        <w:t>In households with one vehicle, range will be incompatible for some of the driving but</w:t>
      </w:r>
      <w:r w:rsidR="00992E00" w:rsidRPr="00C80645">
        <w:t xml:space="preserve"> will be </w:t>
      </w:r>
      <w:r w:rsidRPr="00C80645">
        <w:t xml:space="preserve">manageable for </w:t>
      </w:r>
      <w:r w:rsidR="00AA43B6">
        <w:t>most daily travel (ibid)</w:t>
      </w:r>
      <w:r w:rsidR="00992E00" w:rsidRPr="00C80645">
        <w:t xml:space="preserve">. </w:t>
      </w:r>
      <w:r w:rsidR="00AA43B6">
        <w:t>T</w:t>
      </w:r>
      <w:r w:rsidRPr="00C80645">
        <w:t>he user surveys in 2014 and 2016 found that BEV owners have annual driving distances on par with ICEVs (Figenbaum</w:t>
      </w:r>
      <w:r w:rsidR="00AA43B6">
        <w:t xml:space="preserve"> et al </w:t>
      </w:r>
      <w:r w:rsidRPr="00C80645">
        <w:t xml:space="preserve">2014, Figenbaum </w:t>
      </w:r>
      <w:r w:rsidR="000C3164">
        <w:t>and</w:t>
      </w:r>
      <w:r w:rsidRPr="00C80645">
        <w:t xml:space="preserve"> Kolbenstvedt 2016)</w:t>
      </w:r>
      <w:r w:rsidR="00D638A2">
        <w:t>, which seems to be confirmed by Nissan (2014) vehicle usage statistics for Norway</w:t>
      </w:r>
      <w:r w:rsidRPr="00C80645">
        <w:t>. Cities such as Oslo have put up charging stations in city centres</w:t>
      </w:r>
      <w:r w:rsidR="00992E00" w:rsidRPr="00C80645">
        <w:t>. A</w:t>
      </w:r>
      <w:r w:rsidRPr="00C80645">
        <w:t xml:space="preserve"> national network of fast chargers has been deployed with support from government organisations</w:t>
      </w:r>
      <w:r w:rsidR="00992E00" w:rsidRPr="00C80645">
        <w:t xml:space="preserve"> </w:t>
      </w:r>
      <w:r w:rsidR="000C3164">
        <w:t xml:space="preserve">such as </w:t>
      </w:r>
      <w:r w:rsidRPr="00C80645">
        <w:t>Transnova and Enova, thus improving BEVs compatibility with user needs. The bus lane access from 2003 allowed more early adopters to use BEVs to drive to work</w:t>
      </w:r>
      <w:r w:rsidR="0072089D">
        <w:t xml:space="preserve">, saving time as compensation for </w:t>
      </w:r>
      <w:r w:rsidRPr="00C80645">
        <w:t>the short range</w:t>
      </w:r>
      <w:r w:rsidR="00852F48">
        <w:t xml:space="preserve">, limited comfort and reduced reliability </w:t>
      </w:r>
      <w:r w:rsidRPr="00C80645">
        <w:t xml:space="preserve">of early BEVs. </w:t>
      </w:r>
    </w:p>
    <w:p w14:paraId="34436EEB" w14:textId="77777777" w:rsidR="00852F48" w:rsidRDefault="00852F48" w:rsidP="00523499"/>
    <w:p w14:paraId="6321A0DF" w14:textId="6296FC28" w:rsidR="001947FB" w:rsidRPr="00C80645" w:rsidRDefault="006242A1" w:rsidP="00523499">
      <w:r w:rsidRPr="00C80645">
        <w:t>27</w:t>
      </w:r>
      <w:r w:rsidR="0018528F" w:rsidRPr="00C80645">
        <w:t xml:space="preserve"> % of users have experienced to forego trips and 6% have aborted trips (Figenbaum and Kolbenstvedt 2016). The rest have few </w:t>
      </w:r>
      <w:r w:rsidR="008D5678">
        <w:t>problems</w:t>
      </w:r>
      <w:r w:rsidR="0018528F" w:rsidRPr="00C80645">
        <w:t xml:space="preserve"> covering their travel needs</w:t>
      </w:r>
      <w:r w:rsidR="00B77CA5">
        <w:t>,</w:t>
      </w:r>
      <w:r w:rsidR="0018528F" w:rsidRPr="00C80645">
        <w:t xml:space="preserve"> </w:t>
      </w:r>
      <w:r w:rsidR="001A29CA" w:rsidRPr="00C80645">
        <w:t xml:space="preserve">indicating that BEVs are compatible with most driving needs of the current owners. </w:t>
      </w:r>
      <w:r w:rsidR="001A29CA" w:rsidRPr="00DE7E42">
        <w:t>The average driving pattern from the national travel surveys indicate that the driving needs of households</w:t>
      </w:r>
      <w:r w:rsidR="00E86C35" w:rsidRPr="00DE7E42">
        <w:t xml:space="preserve"> should </w:t>
      </w:r>
      <w:r w:rsidR="00E86C35" w:rsidRPr="00DE7E42">
        <w:lastRenderedPageBreak/>
        <w:t xml:space="preserve">have led to more issues </w:t>
      </w:r>
      <w:r w:rsidR="00DE7E42">
        <w:t xml:space="preserve">given the number of days an average person should experience range challenges presented in </w:t>
      </w:r>
      <w:r w:rsidR="001A29CA" w:rsidRPr="00C80645">
        <w:rPr>
          <w:highlight w:val="yellow"/>
        </w:rPr>
        <w:t>figur</w:t>
      </w:r>
      <w:r w:rsidR="001A29CA" w:rsidRPr="00DE7E42">
        <w:rPr>
          <w:highlight w:val="yellow"/>
        </w:rPr>
        <w:t>e</w:t>
      </w:r>
      <w:r w:rsidR="00704DA1" w:rsidRPr="00DE7E42">
        <w:rPr>
          <w:highlight w:val="yellow"/>
        </w:rPr>
        <w:t>12</w:t>
      </w:r>
      <w:r w:rsidR="00E86C35" w:rsidRPr="00C80645">
        <w:t>. T</w:t>
      </w:r>
      <w:r w:rsidR="001A29CA" w:rsidRPr="00C80645">
        <w:t xml:space="preserve">hat data does </w:t>
      </w:r>
      <w:r w:rsidR="00E86C35" w:rsidRPr="00C80645">
        <w:t xml:space="preserve">however </w:t>
      </w:r>
      <w:r w:rsidR="001A29CA" w:rsidRPr="00C80645">
        <w:t>not take into account that long distance driving in multivehicle households can be covered by the other vehicle, which in most cases is an ICEV</w:t>
      </w:r>
      <w:r w:rsidR="00E86C35" w:rsidRPr="00C80645">
        <w:t xml:space="preserve"> (Figenbaum </w:t>
      </w:r>
      <w:r w:rsidR="008D5678">
        <w:t>&amp;</w:t>
      </w:r>
      <w:r w:rsidR="00E86C35" w:rsidRPr="00C80645">
        <w:t xml:space="preserve"> Kolbenstvedt 2016)</w:t>
      </w:r>
      <w:r w:rsidR="00DE7E42">
        <w:t>. There is likely also a self-selection mechanism involved, where the first buyers have driving patterns better matching BEV characteristics than average vehicle owners have</w:t>
      </w:r>
      <w:r w:rsidR="001A29CA" w:rsidRPr="00C80645">
        <w:t xml:space="preserve">. </w:t>
      </w:r>
    </w:p>
    <w:p w14:paraId="1C256467" w14:textId="77777777" w:rsidR="001947FB" w:rsidRPr="00C80645" w:rsidRDefault="001947FB" w:rsidP="00523499"/>
    <w:p w14:paraId="618991A4" w14:textId="6F7B99B7" w:rsidR="0018528F" w:rsidRPr="00C80645" w:rsidRDefault="00523499" w:rsidP="00523499">
      <w:r w:rsidRPr="00C80645">
        <w:t xml:space="preserve">Studying the total distance as a car driver on an average day, Hjorthol et al (2014) found that as many as 88% of </w:t>
      </w:r>
      <w:r w:rsidR="00E86C35" w:rsidRPr="00C80645">
        <w:t xml:space="preserve">all </w:t>
      </w:r>
      <w:r w:rsidRPr="00C80645">
        <w:t>drivers wil</w:t>
      </w:r>
      <w:r w:rsidR="00E86C35" w:rsidRPr="00C80645">
        <w:t>l have no need for recharging a</w:t>
      </w:r>
      <w:r w:rsidRPr="00C80645">
        <w:t xml:space="preserve"> BEV during an average day</w:t>
      </w:r>
      <w:r w:rsidR="00E86C35" w:rsidRPr="00C80645">
        <w:t xml:space="preserve"> when</w:t>
      </w:r>
      <w:r w:rsidRPr="00C80645">
        <w:t xml:space="preserve"> assuming summer/winter ranges of 120/80 km. 4% of the </w:t>
      </w:r>
      <w:r w:rsidRPr="00704DA1">
        <w:rPr>
          <w:highlight w:val="yellow"/>
        </w:rPr>
        <w:t>trips</w:t>
      </w:r>
      <w:r w:rsidRPr="00C80645">
        <w:t xml:space="preserve">, 6% of the </w:t>
      </w:r>
      <w:r w:rsidRPr="00704DA1">
        <w:rPr>
          <w:highlight w:val="yellow"/>
        </w:rPr>
        <w:t>trip chains</w:t>
      </w:r>
      <w:r w:rsidRPr="00C80645">
        <w:t xml:space="preserve"> (sum of trips starting and ending at home) and 12% </w:t>
      </w:r>
      <w:r w:rsidRPr="00704DA1">
        <w:rPr>
          <w:highlight w:val="yellow"/>
        </w:rPr>
        <w:t>of the days</w:t>
      </w:r>
      <w:r w:rsidRPr="00C80645">
        <w:t xml:space="preserve"> during a year exceed the range limit. In a year, the BEV range (without recharging</w:t>
      </w:r>
      <w:r w:rsidR="00DE7E42">
        <w:t xml:space="preserve"> during a days driving</w:t>
      </w:r>
      <w:r w:rsidRPr="00C80645">
        <w:t xml:space="preserve">) is </w:t>
      </w:r>
      <w:r w:rsidR="00DE7E42">
        <w:t xml:space="preserve">thus </w:t>
      </w:r>
      <w:r w:rsidRPr="00C80645">
        <w:t xml:space="preserve">exceeded 43 </w:t>
      </w:r>
      <w:r w:rsidRPr="00704DA1">
        <w:rPr>
          <w:highlight w:val="yellow"/>
        </w:rPr>
        <w:t>days</w:t>
      </w:r>
      <w:r w:rsidR="007A78BA" w:rsidRPr="00C80645">
        <w:t xml:space="preserve"> for average vehicle owners</w:t>
      </w:r>
      <w:r w:rsidR="001947FB" w:rsidRPr="00C80645">
        <w:t>, see figure 1</w:t>
      </w:r>
      <w:r w:rsidR="00D5752A">
        <w:t>2</w:t>
      </w:r>
      <w:r w:rsidRPr="00C80645">
        <w:t xml:space="preserve">. On </w:t>
      </w:r>
      <w:r w:rsidR="00BB0590" w:rsidRPr="00C80645">
        <w:t>such days,</w:t>
      </w:r>
      <w:r w:rsidR="007A78BA" w:rsidRPr="00C80645">
        <w:t xml:space="preserve"> recharge during the day</w:t>
      </w:r>
      <w:r w:rsidR="00BB0590" w:rsidRPr="00C80645">
        <w:t xml:space="preserve"> will be required and </w:t>
      </w:r>
      <w:r w:rsidRPr="00C80645">
        <w:t>can be done when stops are long enough</w:t>
      </w:r>
      <w:r w:rsidR="00E86C35" w:rsidRPr="00C80645">
        <w:t>,</w:t>
      </w:r>
      <w:r w:rsidRPr="00C80645">
        <w:t xml:space="preserve"> and conditions suitable (typically home or work). </w:t>
      </w:r>
    </w:p>
    <w:p w14:paraId="75A532B1" w14:textId="77777777" w:rsidR="001A29CA" w:rsidRPr="00C80645" w:rsidRDefault="001A29CA" w:rsidP="00607475">
      <w:r w:rsidRPr="00C80645">
        <w:rPr>
          <w:noProof/>
          <w:lang w:val="nb-NO" w:eastAsia="nb-NO"/>
        </w:rPr>
        <w:drawing>
          <wp:inline distT="0" distB="0" distL="0" distR="0" wp14:anchorId="71B77CD4" wp14:editId="273CBD10">
            <wp:extent cx="4663858" cy="2305557"/>
            <wp:effectExtent l="0" t="0" r="381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9750" cy="2308470"/>
                    </a:xfrm>
                    <a:prstGeom prst="rect">
                      <a:avLst/>
                    </a:prstGeom>
                  </pic:spPr>
                </pic:pic>
              </a:graphicData>
            </a:graphic>
          </wp:inline>
        </w:drawing>
      </w:r>
    </w:p>
    <w:p w14:paraId="5D96A2A4" w14:textId="24EE28D5" w:rsidR="001947FB" w:rsidRPr="00C80645" w:rsidRDefault="001947FB" w:rsidP="001947FB">
      <w:pPr>
        <w:pStyle w:val="Bildetekst"/>
        <w:rPr>
          <w:rFonts w:ascii="Arial" w:hAnsi="Arial" w:cs="Arial"/>
          <w:sz w:val="18"/>
          <w:lang w:val="en-GB"/>
        </w:rPr>
      </w:pPr>
      <w:r w:rsidRPr="00C80645">
        <w:rPr>
          <w:rFonts w:ascii="Arial" w:hAnsi="Arial" w:cs="Arial"/>
          <w:sz w:val="18"/>
          <w:lang w:val="en-GB"/>
        </w:rPr>
        <w:t>Figure 1</w:t>
      </w:r>
      <w:r w:rsidR="008D5678">
        <w:rPr>
          <w:rFonts w:ascii="Arial" w:hAnsi="Arial" w:cs="Arial"/>
          <w:sz w:val="18"/>
          <w:lang w:val="en-GB"/>
        </w:rPr>
        <w:t>2</w:t>
      </w:r>
      <w:r w:rsidRPr="00C80645">
        <w:rPr>
          <w:rFonts w:ascii="Arial" w:hAnsi="Arial" w:cs="Arial"/>
          <w:sz w:val="18"/>
          <w:lang w:val="en-GB"/>
        </w:rPr>
        <w:t xml:space="preserve"> Average driving </w:t>
      </w:r>
      <w:r w:rsidR="008D5678">
        <w:rPr>
          <w:rFonts w:ascii="Arial" w:hAnsi="Arial" w:cs="Arial"/>
          <w:sz w:val="18"/>
          <w:lang w:val="en-GB"/>
        </w:rPr>
        <w:t xml:space="preserve">length in km </w:t>
      </w:r>
      <w:r w:rsidRPr="00C80645">
        <w:rPr>
          <w:rFonts w:ascii="Arial" w:hAnsi="Arial" w:cs="Arial"/>
          <w:sz w:val="18"/>
          <w:lang w:val="en-GB"/>
        </w:rPr>
        <w:t xml:space="preserve">per day in the national travel survey </w:t>
      </w:r>
      <w:r w:rsidR="008D5678">
        <w:rPr>
          <w:rFonts w:ascii="Arial" w:hAnsi="Arial" w:cs="Arial"/>
          <w:sz w:val="18"/>
          <w:lang w:val="en-GB"/>
        </w:rPr>
        <w:t xml:space="preserve">2009 (?) </w:t>
      </w:r>
      <w:r w:rsidRPr="00C80645">
        <w:rPr>
          <w:rFonts w:ascii="Arial" w:hAnsi="Arial" w:cs="Arial"/>
          <w:sz w:val="18"/>
          <w:lang w:val="en-GB"/>
        </w:rPr>
        <w:t>by distance interval</w:t>
      </w:r>
      <w:r w:rsidR="008D5678">
        <w:rPr>
          <w:rFonts w:ascii="Arial" w:hAnsi="Arial" w:cs="Arial"/>
          <w:sz w:val="18"/>
          <w:lang w:val="en-GB"/>
        </w:rPr>
        <w:t xml:space="preserve"> (left)</w:t>
      </w:r>
      <w:r w:rsidRPr="00C80645">
        <w:rPr>
          <w:rFonts w:ascii="Arial" w:hAnsi="Arial" w:cs="Arial"/>
          <w:sz w:val="18"/>
          <w:lang w:val="en-GB"/>
        </w:rPr>
        <w:t xml:space="preserve">, and the number of days over range </w:t>
      </w:r>
      <w:r w:rsidR="00BC5496">
        <w:rPr>
          <w:rFonts w:ascii="Arial" w:hAnsi="Arial" w:cs="Arial"/>
          <w:sz w:val="18"/>
          <w:lang w:val="en-GB"/>
        </w:rPr>
        <w:t>for</w:t>
      </w:r>
      <w:r w:rsidR="00BC5496" w:rsidRPr="00C80645">
        <w:rPr>
          <w:rFonts w:ascii="Arial" w:hAnsi="Arial" w:cs="Arial"/>
          <w:sz w:val="18"/>
          <w:lang w:val="en-GB"/>
        </w:rPr>
        <w:t xml:space="preserve"> </w:t>
      </w:r>
      <w:r w:rsidRPr="00C80645">
        <w:rPr>
          <w:rFonts w:ascii="Arial" w:hAnsi="Arial" w:cs="Arial"/>
          <w:sz w:val="18"/>
          <w:lang w:val="en-GB"/>
        </w:rPr>
        <w:t>trip</w:t>
      </w:r>
      <w:r w:rsidR="00BC5496">
        <w:rPr>
          <w:rFonts w:ascii="Arial" w:hAnsi="Arial" w:cs="Arial"/>
          <w:sz w:val="18"/>
          <w:lang w:val="en-GB"/>
        </w:rPr>
        <w:t>s</w:t>
      </w:r>
      <w:r w:rsidRPr="00C80645">
        <w:rPr>
          <w:rFonts w:ascii="Arial" w:hAnsi="Arial" w:cs="Arial"/>
          <w:sz w:val="18"/>
          <w:lang w:val="en-GB"/>
        </w:rPr>
        <w:t xml:space="preserve">, </w:t>
      </w:r>
      <w:r w:rsidR="00BC5496">
        <w:rPr>
          <w:rFonts w:ascii="Arial" w:hAnsi="Arial" w:cs="Arial"/>
          <w:sz w:val="18"/>
          <w:lang w:val="en-GB"/>
        </w:rPr>
        <w:t>for</w:t>
      </w:r>
      <w:r w:rsidRPr="00C80645">
        <w:rPr>
          <w:rFonts w:ascii="Arial" w:hAnsi="Arial" w:cs="Arial"/>
          <w:sz w:val="18"/>
          <w:lang w:val="en-GB"/>
        </w:rPr>
        <w:t xml:space="preserve"> trip chain</w:t>
      </w:r>
      <w:r w:rsidR="00BC5496">
        <w:rPr>
          <w:rFonts w:ascii="Arial" w:hAnsi="Arial" w:cs="Arial"/>
          <w:sz w:val="18"/>
          <w:lang w:val="en-GB"/>
        </w:rPr>
        <w:t>s</w:t>
      </w:r>
      <w:r w:rsidRPr="00C80645">
        <w:rPr>
          <w:rFonts w:ascii="Arial" w:hAnsi="Arial" w:cs="Arial"/>
          <w:sz w:val="18"/>
          <w:lang w:val="en-GB"/>
        </w:rPr>
        <w:t xml:space="preserve"> and </w:t>
      </w:r>
      <w:r w:rsidR="00BC5496">
        <w:rPr>
          <w:rFonts w:ascii="Arial" w:hAnsi="Arial" w:cs="Arial"/>
          <w:sz w:val="18"/>
          <w:lang w:val="en-GB"/>
        </w:rPr>
        <w:t>for</w:t>
      </w:r>
      <w:r w:rsidRPr="00C80645">
        <w:rPr>
          <w:rFonts w:ascii="Arial" w:hAnsi="Arial" w:cs="Arial"/>
          <w:sz w:val="18"/>
          <w:lang w:val="en-GB"/>
        </w:rPr>
        <w:t xml:space="preserve"> </w:t>
      </w:r>
      <w:r w:rsidR="00BC5496">
        <w:rPr>
          <w:rFonts w:ascii="Arial" w:hAnsi="Arial" w:cs="Arial"/>
          <w:sz w:val="18"/>
          <w:lang w:val="en-GB"/>
        </w:rPr>
        <w:t xml:space="preserve">total </w:t>
      </w:r>
      <w:r w:rsidR="00704DA1">
        <w:rPr>
          <w:rFonts w:ascii="Arial" w:hAnsi="Arial" w:cs="Arial"/>
          <w:sz w:val="18"/>
          <w:lang w:val="en-GB"/>
        </w:rPr>
        <w:t>dai</w:t>
      </w:r>
      <w:r w:rsidR="008D5678">
        <w:rPr>
          <w:rFonts w:ascii="Arial" w:hAnsi="Arial" w:cs="Arial"/>
          <w:sz w:val="18"/>
          <w:lang w:val="en-GB"/>
        </w:rPr>
        <w:t>ly driving length (right)</w:t>
      </w:r>
      <w:r w:rsidRPr="00C80645">
        <w:rPr>
          <w:rFonts w:ascii="Arial" w:hAnsi="Arial" w:cs="Arial"/>
          <w:sz w:val="18"/>
          <w:lang w:val="en-GB"/>
        </w:rPr>
        <w:t>. Source: Figenbaum</w:t>
      </w:r>
      <w:r w:rsidR="00704DA1">
        <w:rPr>
          <w:rFonts w:ascii="Arial" w:hAnsi="Arial" w:cs="Arial"/>
          <w:sz w:val="18"/>
          <w:lang w:val="en-GB"/>
        </w:rPr>
        <w:t xml:space="preserve"> et al</w:t>
      </w:r>
      <w:r w:rsidRPr="00C80645">
        <w:rPr>
          <w:rFonts w:ascii="Arial" w:hAnsi="Arial" w:cs="Arial"/>
          <w:sz w:val="18"/>
          <w:lang w:val="en-GB"/>
        </w:rPr>
        <w:t xml:space="preserve"> 2014. </w:t>
      </w:r>
    </w:p>
    <w:p w14:paraId="76EA4E9B" w14:textId="77777777" w:rsidR="00FA6CB1" w:rsidRPr="00C80645" w:rsidRDefault="00FA6CB1" w:rsidP="00FA6CB1">
      <w:pPr>
        <w:rPr>
          <w:lang w:eastAsia="nb-NO"/>
        </w:rPr>
      </w:pPr>
    </w:p>
    <w:p w14:paraId="15D69921" w14:textId="4CC0E9AC" w:rsidR="000D4702" w:rsidRPr="00C80645" w:rsidRDefault="000D4702" w:rsidP="000D4702">
      <w:r w:rsidRPr="00C80645">
        <w:t xml:space="preserve">Range anxiety (the fear of being stranded due to a depleted battery) is ubiquitous, but the range of new BEVs keeps increasing. However, some trips or trip chains cannot be made, and the BEV owners must take other measures i.e. saving energy while driving, borrowing or renting vehicles or swapping cars within the household, </w:t>
      </w:r>
      <w:r w:rsidR="00FA744A" w:rsidRPr="00C80645">
        <w:t>as seen in f</w:t>
      </w:r>
      <w:r w:rsidRPr="00C80645">
        <w:t xml:space="preserve">igure </w:t>
      </w:r>
      <w:r w:rsidR="00FA744A" w:rsidRPr="00C80645">
        <w:t>1</w:t>
      </w:r>
      <w:r w:rsidR="00281A2C">
        <w:t>3</w:t>
      </w:r>
      <w:r w:rsidR="00FA744A" w:rsidRPr="00C80645">
        <w:t xml:space="preserve">. Comparing these results with 2016 </w:t>
      </w:r>
      <w:r w:rsidR="00E86C35" w:rsidRPr="00C80645">
        <w:t>results</w:t>
      </w:r>
      <w:r w:rsidR="00845374" w:rsidRPr="00C80645">
        <w:t xml:space="preserve"> (Figenbaum </w:t>
      </w:r>
      <w:r w:rsidR="00281A2C">
        <w:t>&amp;</w:t>
      </w:r>
      <w:r w:rsidR="00845374" w:rsidRPr="00C80645">
        <w:t xml:space="preserve"> Kolbenstvedt 2016)</w:t>
      </w:r>
      <w:r w:rsidR="00E86C35" w:rsidRPr="00C80645">
        <w:t xml:space="preserve">, </w:t>
      </w:r>
      <w:r w:rsidR="00FA744A" w:rsidRPr="00C80645">
        <w:t xml:space="preserve">indicate that owners </w:t>
      </w:r>
      <w:r w:rsidR="00E86C35" w:rsidRPr="00C80645">
        <w:t xml:space="preserve">have become </w:t>
      </w:r>
      <w:r w:rsidR="00FA744A" w:rsidRPr="00C80645">
        <w:t xml:space="preserve">less inclined to loan or rent vehicles and more inclined to </w:t>
      </w:r>
      <w:r w:rsidR="00E86C35" w:rsidRPr="00C80645">
        <w:t>use</w:t>
      </w:r>
      <w:r w:rsidR="00FA744A" w:rsidRPr="00C80645">
        <w:t xml:space="preserve"> fast</w:t>
      </w:r>
      <w:r w:rsidR="00E86C35" w:rsidRPr="00C80645">
        <w:t xml:space="preserve"> chargers and drive</w:t>
      </w:r>
      <w:r w:rsidR="009E1890" w:rsidRPr="00C80645">
        <w:t xml:space="preserve"> more effic</w:t>
      </w:r>
      <w:r w:rsidR="00FA744A" w:rsidRPr="00C80645">
        <w:t>iently.</w:t>
      </w:r>
    </w:p>
    <w:p w14:paraId="64BD548A" w14:textId="77777777" w:rsidR="00FA744A" w:rsidRPr="00C80645" w:rsidRDefault="00FA744A" w:rsidP="000D4702"/>
    <w:p w14:paraId="4E610BE5" w14:textId="77777777" w:rsidR="000D4702" w:rsidRPr="00C80645" w:rsidRDefault="000D4702" w:rsidP="000D4702">
      <w:pPr>
        <w:keepNext/>
        <w:spacing w:after="120"/>
      </w:pPr>
      <w:r w:rsidRPr="00DE7E42">
        <w:rPr>
          <w:noProof/>
          <w:sz w:val="18"/>
          <w:lang w:val="nb-NO" w:eastAsia="nb-NO"/>
        </w:rPr>
        <w:drawing>
          <wp:inline distT="0" distB="0" distL="0" distR="0" wp14:anchorId="602DE5F4" wp14:editId="0F2F4DFF">
            <wp:extent cx="3778685" cy="1937359"/>
            <wp:effectExtent l="0" t="0" r="12700" b="6350"/>
            <wp:docPr id="3081" name="Diagram 30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124141" w14:textId="7E3109C0" w:rsidR="000D4702" w:rsidRPr="00C80645" w:rsidRDefault="000D4702" w:rsidP="000D4702">
      <w:pPr>
        <w:pStyle w:val="Bildetekst"/>
        <w:rPr>
          <w:rFonts w:ascii="Arial" w:hAnsi="Arial" w:cs="Arial"/>
          <w:sz w:val="18"/>
          <w:lang w:val="en-GB"/>
        </w:rPr>
      </w:pPr>
      <w:r w:rsidRPr="00C80645">
        <w:rPr>
          <w:rFonts w:ascii="Arial" w:hAnsi="Arial" w:cs="Arial"/>
          <w:sz w:val="18"/>
          <w:lang w:val="en-GB"/>
        </w:rPr>
        <w:t xml:space="preserve">Figure </w:t>
      </w:r>
      <w:r w:rsidR="00FA744A" w:rsidRPr="00C80645">
        <w:rPr>
          <w:rFonts w:ascii="Arial" w:hAnsi="Arial" w:cs="Arial"/>
          <w:sz w:val="18"/>
          <w:lang w:val="en-GB"/>
        </w:rPr>
        <w:t>1</w:t>
      </w:r>
      <w:r w:rsidR="00281A2C">
        <w:rPr>
          <w:rFonts w:ascii="Arial" w:hAnsi="Arial" w:cs="Arial"/>
          <w:sz w:val="18"/>
          <w:lang w:val="en-GB"/>
        </w:rPr>
        <w:t>3</w:t>
      </w:r>
      <w:r w:rsidRPr="00C80645">
        <w:rPr>
          <w:rFonts w:ascii="Arial" w:hAnsi="Arial" w:cs="Arial"/>
          <w:sz w:val="18"/>
          <w:lang w:val="en-GB"/>
        </w:rPr>
        <w:t xml:space="preserve"> Different adaption strategies to avoid range challenges in multicar BEV/ICE and BEV-only households. Source: Figenbaum</w:t>
      </w:r>
      <w:r w:rsidR="000C3164">
        <w:rPr>
          <w:rFonts w:ascii="Arial" w:hAnsi="Arial" w:cs="Arial"/>
          <w:sz w:val="18"/>
          <w:lang w:val="en-GB"/>
        </w:rPr>
        <w:t xml:space="preserve"> et al</w:t>
      </w:r>
      <w:r w:rsidR="00281A2C">
        <w:rPr>
          <w:rFonts w:ascii="Arial" w:hAnsi="Arial" w:cs="Arial"/>
          <w:sz w:val="18"/>
          <w:lang w:val="en-GB"/>
        </w:rPr>
        <w:t xml:space="preserve"> </w:t>
      </w:r>
      <w:r w:rsidRPr="00C80645">
        <w:rPr>
          <w:rFonts w:ascii="Arial" w:hAnsi="Arial" w:cs="Arial"/>
          <w:sz w:val="18"/>
          <w:lang w:val="en-GB"/>
        </w:rPr>
        <w:t>(2014).</w:t>
      </w:r>
    </w:p>
    <w:p w14:paraId="635E5E7C" w14:textId="77777777" w:rsidR="000D4702" w:rsidRPr="00C80645" w:rsidRDefault="000D4702" w:rsidP="000D4702">
      <w:pPr>
        <w:rPr>
          <w:lang w:eastAsia="nb-NO"/>
        </w:rPr>
      </w:pPr>
    </w:p>
    <w:p w14:paraId="365BAF43" w14:textId="020D6D7F" w:rsidR="00607475" w:rsidRPr="00C80645" w:rsidRDefault="00607475" w:rsidP="00607475">
      <w:bookmarkStart w:id="30" w:name="_Toc408840281"/>
      <w:bookmarkStart w:id="31" w:name="_Toc408840282"/>
      <w:bookmarkStart w:id="32" w:name="_Toc408840283"/>
      <w:bookmarkStart w:id="33" w:name="_Toc408840284"/>
      <w:bookmarkStart w:id="34" w:name="_Toc408840285"/>
      <w:bookmarkStart w:id="35" w:name="_Toc408840286"/>
      <w:bookmarkStart w:id="36" w:name="_Toc408840287"/>
      <w:bookmarkStart w:id="37" w:name="_Toc408840288"/>
      <w:bookmarkEnd w:id="30"/>
      <w:bookmarkEnd w:id="31"/>
      <w:bookmarkEnd w:id="32"/>
      <w:bookmarkEnd w:id="33"/>
      <w:bookmarkEnd w:id="34"/>
      <w:bookmarkEnd w:id="35"/>
      <w:bookmarkEnd w:id="36"/>
      <w:bookmarkEnd w:id="37"/>
      <w:r w:rsidRPr="00C80645">
        <w:lastRenderedPageBreak/>
        <w:t>The availability of fast charge</w:t>
      </w:r>
      <w:r w:rsidR="00DE7E42">
        <w:t xml:space="preserve">rs </w:t>
      </w:r>
      <w:r w:rsidRPr="00C80645">
        <w:t>is one of the factors influencing BEV adoption</w:t>
      </w:r>
      <w:r w:rsidR="00DE7E42">
        <w:t>,</w:t>
      </w:r>
      <w:r w:rsidRPr="00C80645">
        <w:t xml:space="preserve"> allowing charging on the go and in emergencies. The average BEV owner use</w:t>
      </w:r>
      <w:r w:rsidR="00D5319F" w:rsidRPr="00C80645">
        <w:t>d</w:t>
      </w:r>
      <w:r w:rsidRPr="00C80645">
        <w:t xml:space="preserve"> fast chargers about 14 times per year</w:t>
      </w:r>
      <w:r w:rsidR="00D5319F" w:rsidRPr="00C80645">
        <w:t xml:space="preserve"> in 2014</w:t>
      </w:r>
      <w:r w:rsidR="00845374" w:rsidRPr="00C80645">
        <w:t>,</w:t>
      </w:r>
      <w:r w:rsidR="00D5319F" w:rsidRPr="00C80645">
        <w:t xml:space="preserve"> increasing to 16 times in 2016</w:t>
      </w:r>
      <w:r w:rsidRPr="00C80645">
        <w:t xml:space="preserve"> (Figenbaum</w:t>
      </w:r>
      <w:r w:rsidR="00281A2C">
        <w:t xml:space="preserve"> et al</w:t>
      </w:r>
      <w:r w:rsidR="00DE7E42">
        <w:t xml:space="preserve"> </w:t>
      </w:r>
      <w:r w:rsidRPr="00C80645">
        <w:t>2014</w:t>
      </w:r>
      <w:r w:rsidR="00D5319F" w:rsidRPr="00C80645">
        <w:t xml:space="preserve">, Figenbaum </w:t>
      </w:r>
      <w:r w:rsidR="00281A2C">
        <w:t>&amp;</w:t>
      </w:r>
      <w:r w:rsidR="00D5319F" w:rsidRPr="00C80645">
        <w:t xml:space="preserve"> Kolbenstvedt 2016)</w:t>
      </w:r>
      <w:r w:rsidRPr="00C80645">
        <w:t>. A chaos of different payment systems for fast charging</w:t>
      </w:r>
      <w:r w:rsidR="009E1890" w:rsidRPr="00C80645">
        <w:t xml:space="preserve"> however</w:t>
      </w:r>
      <w:r w:rsidRPr="00C80645">
        <w:t xml:space="preserve"> makes usage more complex than </w:t>
      </w:r>
      <w:r w:rsidR="00281A2C">
        <w:t xml:space="preserve">it </w:t>
      </w:r>
      <w:r w:rsidRPr="00C80645">
        <w:t xml:space="preserve">need </w:t>
      </w:r>
      <w:r w:rsidR="00281A2C">
        <w:t xml:space="preserve">to </w:t>
      </w:r>
      <w:r w:rsidRPr="00C80645">
        <w:t>be</w:t>
      </w:r>
      <w:r w:rsidR="000C29CC">
        <w:t xml:space="preserve"> and there has been issues with the technical stability of fast chargers</w:t>
      </w:r>
      <w:r w:rsidRPr="00C80645">
        <w:t xml:space="preserve">. BEV sales </w:t>
      </w:r>
      <w:r w:rsidR="00BB0590" w:rsidRPr="00C80645">
        <w:t>have</w:t>
      </w:r>
      <w:r w:rsidRPr="00C80645">
        <w:t xml:space="preserve"> </w:t>
      </w:r>
      <w:r w:rsidR="009E1890" w:rsidRPr="00C80645">
        <w:t xml:space="preserve">also </w:t>
      </w:r>
      <w:r w:rsidRPr="00C80645">
        <w:t>outpace</w:t>
      </w:r>
      <w:r w:rsidR="00BB0590" w:rsidRPr="00C80645">
        <w:t>d</w:t>
      </w:r>
      <w:r w:rsidRPr="00C80645">
        <w:t xml:space="preserve"> the expansion of charge stations, so that available charge stations per BEV </w:t>
      </w:r>
      <w:r w:rsidR="00281A2C">
        <w:t>are</w:t>
      </w:r>
      <w:r w:rsidRPr="00C80645">
        <w:t xml:space="preserve"> reduced, c.f. figure </w:t>
      </w:r>
      <w:r w:rsidR="009E1890" w:rsidRPr="00C80645">
        <w:t>1</w:t>
      </w:r>
      <w:r w:rsidR="00281A2C">
        <w:t>4</w:t>
      </w:r>
      <w:r w:rsidRPr="00C80645">
        <w:t xml:space="preserve">. </w:t>
      </w:r>
    </w:p>
    <w:p w14:paraId="765F6C9C" w14:textId="77777777" w:rsidR="0018528F" w:rsidRPr="00C80645" w:rsidRDefault="0018528F" w:rsidP="00607475"/>
    <w:p w14:paraId="45D6A39E" w14:textId="77777777" w:rsidR="00607475" w:rsidRPr="00C80645" w:rsidRDefault="00607475" w:rsidP="00607475">
      <w:r w:rsidRPr="00C80645">
        <w:rPr>
          <w:noProof/>
          <w:lang w:val="nb-NO" w:eastAsia="nb-NO"/>
        </w:rPr>
        <w:drawing>
          <wp:inline distT="0" distB="0" distL="0" distR="0" wp14:anchorId="14559EEF" wp14:editId="33BEF790">
            <wp:extent cx="3149029" cy="1479479"/>
            <wp:effectExtent l="0" t="0" r="13335" b="6985"/>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64FC37B" w14:textId="79029F5D" w:rsidR="00607475" w:rsidRPr="00C80645" w:rsidRDefault="00607475" w:rsidP="00607475">
      <w:pPr>
        <w:pStyle w:val="Bildetekst"/>
        <w:rPr>
          <w:rFonts w:ascii="Arial" w:hAnsi="Arial" w:cs="Arial"/>
          <w:sz w:val="18"/>
          <w:szCs w:val="16"/>
          <w:lang w:val="en-GB"/>
        </w:rPr>
      </w:pPr>
      <w:r w:rsidRPr="00C80645">
        <w:rPr>
          <w:rFonts w:ascii="Arial" w:hAnsi="Arial" w:cs="Arial"/>
          <w:sz w:val="18"/>
          <w:szCs w:val="16"/>
          <w:lang w:val="en-GB"/>
        </w:rPr>
        <w:t xml:space="preserve">Figure </w:t>
      </w:r>
      <w:r w:rsidR="00697F35" w:rsidRPr="00C80645">
        <w:rPr>
          <w:rFonts w:ascii="Arial" w:hAnsi="Arial" w:cs="Arial"/>
          <w:sz w:val="18"/>
          <w:szCs w:val="16"/>
          <w:lang w:val="en-GB"/>
        </w:rPr>
        <w:t>1</w:t>
      </w:r>
      <w:r w:rsidR="00281A2C">
        <w:rPr>
          <w:rFonts w:ascii="Arial" w:hAnsi="Arial" w:cs="Arial"/>
          <w:sz w:val="18"/>
          <w:szCs w:val="16"/>
          <w:lang w:val="en-GB"/>
        </w:rPr>
        <w:t>4</w:t>
      </w:r>
      <w:r w:rsidRPr="00C80645">
        <w:rPr>
          <w:rFonts w:ascii="Arial" w:hAnsi="Arial" w:cs="Arial"/>
          <w:sz w:val="18"/>
          <w:szCs w:val="16"/>
          <w:lang w:val="en-GB"/>
        </w:rPr>
        <w:t xml:space="preserve"> Development of charging structure. BEVs per public chargers, normal and fast chargers 2010 – 2014 in Norway. Data sources: Gronnbil</w:t>
      </w:r>
      <w:r w:rsidR="00AB0C94">
        <w:rPr>
          <w:rFonts w:ascii="Arial" w:hAnsi="Arial" w:cs="Arial"/>
          <w:sz w:val="18"/>
          <w:szCs w:val="16"/>
          <w:lang w:val="en-GB"/>
        </w:rPr>
        <w:t xml:space="preserve"> (2015)</w:t>
      </w:r>
      <w:r w:rsidRPr="00C80645">
        <w:rPr>
          <w:rFonts w:ascii="Arial" w:hAnsi="Arial" w:cs="Arial"/>
          <w:sz w:val="18"/>
          <w:szCs w:val="16"/>
          <w:lang w:val="en-GB"/>
        </w:rPr>
        <w:t xml:space="preserve">, OFVAS (2014). </w:t>
      </w:r>
    </w:p>
    <w:p w14:paraId="4D0B32C7" w14:textId="77777777" w:rsidR="009E1890" w:rsidRPr="00C80645" w:rsidRDefault="009E1890" w:rsidP="009E1890"/>
    <w:p w14:paraId="41A7E81D" w14:textId="0D28E674" w:rsidR="009E1890" w:rsidRPr="00C80645" w:rsidRDefault="009E1890" w:rsidP="009E1890">
      <w:r w:rsidRPr="00C80645">
        <w:t xml:space="preserve">A strong indication of BEVs compatibility with user needs is that a large majority, 87% of the current BEV owners, say they </w:t>
      </w:r>
      <w:r w:rsidRPr="00C80645">
        <w:rPr>
          <w:i/>
        </w:rPr>
        <w:t>will buy</w:t>
      </w:r>
      <w:r w:rsidRPr="00C80645">
        <w:t xml:space="preserve"> an BEV next time they buy a car (Figenbaum</w:t>
      </w:r>
      <w:r w:rsidR="00281A2C">
        <w:t xml:space="preserve"> et al </w:t>
      </w:r>
      <w:r w:rsidRPr="00C80645">
        <w:t xml:space="preserve"> 2014, Figenbaum </w:t>
      </w:r>
      <w:r w:rsidR="00281A2C">
        <w:t>&amp;</w:t>
      </w:r>
      <w:r w:rsidRPr="00C80645">
        <w:t xml:space="preserve"> Kolbenstvedt 2016). The corresponding figure for the average </w:t>
      </w:r>
      <w:r w:rsidR="00281A2C">
        <w:t>ICEV</w:t>
      </w:r>
      <w:r w:rsidRPr="00C80645">
        <w:t xml:space="preserve"> owner is that 30% </w:t>
      </w:r>
      <w:r w:rsidRPr="00C80645">
        <w:rPr>
          <w:i/>
        </w:rPr>
        <w:t>will consider</w:t>
      </w:r>
      <w:r w:rsidRPr="00C80645">
        <w:t xml:space="preserve"> </w:t>
      </w:r>
      <w:r w:rsidRPr="00C80645">
        <w:rPr>
          <w:i/>
        </w:rPr>
        <w:t>buying</w:t>
      </w:r>
      <w:r w:rsidRPr="00C80645">
        <w:t xml:space="preserve"> one. </w:t>
      </w:r>
    </w:p>
    <w:p w14:paraId="618088FC" w14:textId="77777777" w:rsidR="009E1890" w:rsidRPr="00C80645" w:rsidRDefault="009E1890" w:rsidP="009E1890">
      <w:pPr>
        <w:rPr>
          <w:rFonts w:asciiTheme="minorHAnsi" w:hAnsiTheme="minorHAnsi" w:cstheme="minorHAnsi"/>
          <w:b/>
        </w:rPr>
      </w:pPr>
    </w:p>
    <w:p w14:paraId="6B502AED" w14:textId="77777777" w:rsidR="00607475" w:rsidRPr="00C80645" w:rsidRDefault="00607475" w:rsidP="00607475">
      <w:pPr>
        <w:rPr>
          <w:b/>
        </w:rPr>
      </w:pPr>
      <w:r w:rsidRPr="00C80645">
        <w:rPr>
          <w:b/>
        </w:rPr>
        <w:t>Trialability</w:t>
      </w:r>
      <w:r w:rsidR="00064EB8" w:rsidRPr="00C80645">
        <w:rPr>
          <w:b/>
        </w:rPr>
        <w:t xml:space="preserve"> and observability</w:t>
      </w:r>
    </w:p>
    <w:p w14:paraId="7D8BB703" w14:textId="1DED5220" w:rsidR="00607475" w:rsidRPr="00C80645" w:rsidRDefault="00845374" w:rsidP="00607475">
      <w:r w:rsidRPr="00C80645">
        <w:t>T</w:t>
      </w:r>
      <w:r w:rsidR="00607475" w:rsidRPr="00C80645">
        <w:t xml:space="preserve">rialability is </w:t>
      </w:r>
      <w:r w:rsidRPr="00C80645">
        <w:t>important (Rogers 1995) in the early phases of diffusion of innovations.</w:t>
      </w:r>
      <w:r w:rsidR="00607475" w:rsidRPr="00C80645">
        <w:t xml:space="preserve"> The first adopters have no peers who have adopted already</w:t>
      </w:r>
      <w:r w:rsidR="000C29CC">
        <w:t>, and thus less information available</w:t>
      </w:r>
      <w:r w:rsidR="00607475" w:rsidRPr="00C80645">
        <w:t xml:space="preserve">. Therefore, they need to </w:t>
      </w:r>
      <w:r w:rsidR="00697F35" w:rsidRPr="00C80645">
        <w:t>try a</w:t>
      </w:r>
      <w:r w:rsidR="00607475" w:rsidRPr="00C80645">
        <w:t xml:space="preserve"> BEV to see if it works for them. The import of second-hand vehicles from 2003 up to 2009 kept the BEV market alive, </w:t>
      </w:r>
      <w:r w:rsidRPr="00C80645">
        <w:t xml:space="preserve">by </w:t>
      </w:r>
      <w:r w:rsidR="00607475" w:rsidRPr="00C80645">
        <w:t>allowing BEVs to be tried out in some of the cities in Norway</w:t>
      </w:r>
      <w:r w:rsidR="000C29CC">
        <w:t xml:space="preserve"> in a period when most countries and vehicle manufacturers had abandoned BEVs</w:t>
      </w:r>
      <w:r w:rsidR="00607475" w:rsidRPr="00C80645">
        <w:t xml:space="preserve">. As diffusion catches on, more potential adopters will have </w:t>
      </w:r>
      <w:r w:rsidR="00697F35" w:rsidRPr="00C80645">
        <w:t xml:space="preserve">BEV owning </w:t>
      </w:r>
      <w:r w:rsidR="00607475" w:rsidRPr="00C80645">
        <w:t>peers providing reliable information on</w:t>
      </w:r>
      <w:r w:rsidRPr="00C80645">
        <w:t xml:space="preserve"> BEVs. T</w:t>
      </w:r>
      <w:r w:rsidR="00697F35" w:rsidRPr="00C80645">
        <w:t xml:space="preserve">est drives </w:t>
      </w:r>
      <w:r w:rsidRPr="00C80645">
        <w:t xml:space="preserve">will then be </w:t>
      </w:r>
      <w:r w:rsidR="00697F35" w:rsidRPr="00C80645">
        <w:t>easily accessible a</w:t>
      </w:r>
      <w:r w:rsidR="00064EB8" w:rsidRPr="00C80645">
        <w:t>nd more dealers will sell BEVs, thus</w:t>
      </w:r>
      <w:r w:rsidR="00607475" w:rsidRPr="00C80645">
        <w:t xml:space="preserve"> </w:t>
      </w:r>
      <w:r w:rsidR="00697F35" w:rsidRPr="00C80645">
        <w:t>eliminating</w:t>
      </w:r>
      <w:r w:rsidR="00607475" w:rsidRPr="00C80645">
        <w:t xml:space="preserve"> the trialability issue. </w:t>
      </w:r>
    </w:p>
    <w:p w14:paraId="73F8E419" w14:textId="77777777" w:rsidR="003A75F1" w:rsidRPr="00C80645" w:rsidRDefault="003A75F1" w:rsidP="00607475"/>
    <w:p w14:paraId="2E539695" w14:textId="3493F312" w:rsidR="003A75F1" w:rsidRPr="00C80645" w:rsidRDefault="003A75F1" w:rsidP="003A75F1">
      <w:r w:rsidRPr="00C80645">
        <w:t xml:space="preserve">The EV association and the Norwegian Automobile Federation </w:t>
      </w:r>
      <w:r w:rsidR="00281A2C">
        <w:t xml:space="preserve">(NAF) </w:t>
      </w:r>
      <w:r w:rsidRPr="00C80645">
        <w:t>arranged events increasing BEV visibility such as BEV parades and races, international conferences</w:t>
      </w:r>
      <w:r w:rsidR="000C29CC">
        <w:t>,</w:t>
      </w:r>
      <w:r w:rsidRPr="00C80645">
        <w:t xml:space="preserve"> as well as ride and drive events</w:t>
      </w:r>
      <w:r w:rsidR="000C29CC">
        <w:t>,</w:t>
      </w:r>
      <w:r w:rsidRPr="00C80645">
        <w:t xml:space="preserve"> in the earlier years of BEV diffusion. The visibility and trialability of BEVs </w:t>
      </w:r>
      <w:r w:rsidR="00E2283F">
        <w:t>is</w:t>
      </w:r>
      <w:r w:rsidRPr="00C80645">
        <w:t xml:space="preserve"> larger in Norway than other countries. BEVs have been equipped with EL number plates since 1999, and BEVs in the bus lane pass a large number of vehicles during the rush hour. </w:t>
      </w:r>
      <w:r w:rsidR="00607475" w:rsidRPr="00C80645">
        <w:t xml:space="preserve">Norwegians living in cities </w:t>
      </w:r>
      <w:r w:rsidR="00064EB8" w:rsidRPr="00C80645">
        <w:t xml:space="preserve">now </w:t>
      </w:r>
      <w:r w:rsidR="00607475" w:rsidRPr="00C80645">
        <w:t>see BEVs in real traffic situations every day</w:t>
      </w:r>
      <w:r w:rsidR="000C29CC">
        <w:t>. T</w:t>
      </w:r>
      <w:r w:rsidR="00064EB8" w:rsidRPr="00C80645">
        <w:t>hey constitute</w:t>
      </w:r>
      <w:r w:rsidR="000C29CC">
        <w:t>d</w:t>
      </w:r>
      <w:r w:rsidR="00064EB8" w:rsidRPr="00C80645">
        <w:t xml:space="preserve"> over 5% of the vehicles driving </w:t>
      </w:r>
      <w:r w:rsidR="00710D3F">
        <w:t xml:space="preserve">through the toll gates </w:t>
      </w:r>
      <w:r w:rsidR="00607475" w:rsidRPr="00C80645">
        <w:t>in</w:t>
      </w:r>
      <w:r w:rsidR="00710D3F">
        <w:t>to</w:t>
      </w:r>
      <w:r w:rsidR="00607475" w:rsidRPr="00C80645">
        <w:t xml:space="preserve"> </w:t>
      </w:r>
      <w:r w:rsidR="00710D3F">
        <w:t xml:space="preserve">Oslo in 2015 </w:t>
      </w:r>
      <w:r w:rsidRPr="00C80645">
        <w:t>(</w:t>
      </w:r>
      <w:r w:rsidR="00710D3F">
        <w:t>Fjellinjen 2016)</w:t>
      </w:r>
      <w:r w:rsidR="00607475" w:rsidRPr="00C80645">
        <w:t xml:space="preserve">. </w:t>
      </w:r>
      <w:r w:rsidRPr="00C80645">
        <w:t>The large increase in BEV-dealers</w:t>
      </w:r>
      <w:r w:rsidR="00B3593E" w:rsidRPr="00C80645">
        <w:rPr>
          <w:shd w:val="clear" w:color="auto" w:fill="FFFFFF" w:themeFill="background1"/>
        </w:rPr>
        <w:t xml:space="preserve"> between 2010 and 2014</w:t>
      </w:r>
      <w:r w:rsidR="00845374" w:rsidRPr="00C80645">
        <w:rPr>
          <w:shd w:val="clear" w:color="auto" w:fill="FFFFFF" w:themeFill="background1"/>
        </w:rPr>
        <w:t>,</w:t>
      </w:r>
      <w:r w:rsidRPr="00C80645">
        <w:rPr>
          <w:shd w:val="clear" w:color="auto" w:fill="FFFFFF" w:themeFill="background1"/>
        </w:rPr>
        <w:t xml:space="preserve"> as seen in figure </w:t>
      </w:r>
      <w:r w:rsidRPr="00C80645">
        <w:t>1</w:t>
      </w:r>
      <w:r w:rsidR="00281A2C">
        <w:t>5</w:t>
      </w:r>
      <w:r w:rsidRPr="00C80645">
        <w:t xml:space="preserve">, increased visibility and exposure where people look for vehicles to buy. </w:t>
      </w:r>
    </w:p>
    <w:p w14:paraId="57C4A393" w14:textId="77777777" w:rsidR="00845374" w:rsidRPr="00C80645" w:rsidRDefault="00845374" w:rsidP="003A75F1"/>
    <w:p w14:paraId="2DC42940" w14:textId="77777777" w:rsidR="00B3593E" w:rsidRPr="00C80645" w:rsidRDefault="00B3593E" w:rsidP="00B3593E">
      <w:r w:rsidRPr="00C80645">
        <w:rPr>
          <w:noProof/>
          <w:lang w:val="nb-NO" w:eastAsia="nb-NO"/>
        </w:rPr>
        <w:drawing>
          <wp:inline distT="0" distB="0" distL="0" distR="0" wp14:anchorId="402C26C1" wp14:editId="0C82E0C1">
            <wp:extent cx="4276725" cy="1545220"/>
            <wp:effectExtent l="0" t="0" r="9525" b="17145"/>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96F56D6" w14:textId="2028C45F" w:rsidR="00B3593E" w:rsidRPr="00C80645" w:rsidRDefault="00B3593E" w:rsidP="00B3593E">
      <w:pPr>
        <w:rPr>
          <w:i/>
          <w:sz w:val="18"/>
        </w:rPr>
      </w:pPr>
      <w:r w:rsidRPr="00C80645">
        <w:rPr>
          <w:i/>
          <w:sz w:val="18"/>
        </w:rPr>
        <w:t>Figure 1</w:t>
      </w:r>
      <w:r w:rsidR="00281A2C">
        <w:rPr>
          <w:i/>
          <w:sz w:val="18"/>
        </w:rPr>
        <w:t>5</w:t>
      </w:r>
      <w:r w:rsidRPr="00C80645">
        <w:rPr>
          <w:i/>
          <w:sz w:val="18"/>
        </w:rPr>
        <w:t xml:space="preserve"> The number of dealers and models available in Norway 2011-2014. Sources: Compiled from the importer websites. OEM=Original equipment manufacturers.</w:t>
      </w:r>
    </w:p>
    <w:p w14:paraId="3DB742D7" w14:textId="7591106C" w:rsidR="00EC1BE6" w:rsidRDefault="00EC1BE6">
      <w:pPr>
        <w:spacing w:after="200" w:line="276" w:lineRule="auto"/>
        <w:rPr>
          <w:b/>
          <w:caps/>
          <w:sz w:val="24"/>
        </w:rPr>
      </w:pPr>
    </w:p>
    <w:p w14:paraId="592FF94B" w14:textId="77777777" w:rsidR="004F2819" w:rsidRPr="00C80645" w:rsidRDefault="004F2819">
      <w:pPr>
        <w:spacing w:after="200" w:line="276" w:lineRule="auto"/>
        <w:rPr>
          <w:b/>
          <w:caps/>
          <w:sz w:val="24"/>
        </w:rPr>
      </w:pPr>
    </w:p>
    <w:p w14:paraId="3A8C0414" w14:textId="77777777" w:rsidR="001557D2" w:rsidRDefault="00607475" w:rsidP="001557D2">
      <w:pPr>
        <w:pStyle w:val="Overskrift1"/>
      </w:pPr>
      <w:r>
        <w:t>Discussion</w:t>
      </w:r>
    </w:p>
    <w:p w14:paraId="2885422B" w14:textId="2939C473" w:rsidR="00AC7175" w:rsidRPr="00AC7175" w:rsidRDefault="00AC7175" w:rsidP="00AC7175">
      <w:r>
        <w:t xml:space="preserve">In </w:t>
      </w:r>
      <w:r w:rsidR="00704DA1">
        <w:t>the introduction</w:t>
      </w:r>
      <w:r>
        <w:t xml:space="preserve">, three questions about the BEV diffusion process in Norway was raised: </w:t>
      </w:r>
    </w:p>
    <w:p w14:paraId="1B48295D" w14:textId="77777777" w:rsidR="00AC7175" w:rsidRPr="00B23D40" w:rsidRDefault="00AC7175" w:rsidP="00AC7175">
      <w:pPr>
        <w:pStyle w:val="Listeavsnitt"/>
        <w:numPr>
          <w:ilvl w:val="0"/>
          <w:numId w:val="18"/>
        </w:numPr>
        <w:spacing w:line="240" w:lineRule="auto"/>
        <w:contextualSpacing/>
        <w:rPr>
          <w:sz w:val="20"/>
        </w:rPr>
      </w:pPr>
      <w:r w:rsidRPr="00B23D40">
        <w:rPr>
          <w:sz w:val="20"/>
        </w:rPr>
        <w:t xml:space="preserve">How did policy and incentives influence the relative advantage of BEVs? </w:t>
      </w:r>
    </w:p>
    <w:p w14:paraId="3A67A209" w14:textId="77777777" w:rsidR="00AC7175" w:rsidRPr="00B23D40" w:rsidRDefault="00AC7175" w:rsidP="00AC7175">
      <w:pPr>
        <w:pStyle w:val="Listeavsnitt"/>
        <w:numPr>
          <w:ilvl w:val="0"/>
          <w:numId w:val="18"/>
        </w:numPr>
        <w:spacing w:line="240" w:lineRule="auto"/>
        <w:contextualSpacing/>
        <w:rPr>
          <w:sz w:val="20"/>
        </w:rPr>
      </w:pPr>
      <w:r w:rsidRPr="00B23D40">
        <w:rPr>
          <w:sz w:val="20"/>
        </w:rPr>
        <w:t>How has BEVs diffused regionally and among different users and markets?</w:t>
      </w:r>
    </w:p>
    <w:p w14:paraId="34C01786" w14:textId="77777777" w:rsidR="00AC7175" w:rsidRDefault="00AC7175" w:rsidP="00AC7175">
      <w:pPr>
        <w:pStyle w:val="Listeavsnitt"/>
        <w:numPr>
          <w:ilvl w:val="0"/>
          <w:numId w:val="18"/>
        </w:numPr>
        <w:spacing w:line="240" w:lineRule="auto"/>
        <w:contextualSpacing/>
        <w:rPr>
          <w:sz w:val="20"/>
        </w:rPr>
      </w:pPr>
      <w:r w:rsidRPr="00B23D40">
        <w:rPr>
          <w:sz w:val="20"/>
        </w:rPr>
        <w:t xml:space="preserve">Which </w:t>
      </w:r>
      <w:r>
        <w:rPr>
          <w:sz w:val="20"/>
        </w:rPr>
        <w:t>technical, societal, individual and</w:t>
      </w:r>
      <w:r w:rsidRPr="00B23D40">
        <w:rPr>
          <w:sz w:val="20"/>
        </w:rPr>
        <w:t xml:space="preserve"> communicative factors affect</w:t>
      </w:r>
      <w:r>
        <w:rPr>
          <w:sz w:val="20"/>
        </w:rPr>
        <w:t>ed</w:t>
      </w:r>
      <w:r w:rsidRPr="00B23D40">
        <w:rPr>
          <w:sz w:val="20"/>
        </w:rPr>
        <w:t xml:space="preserve"> diffusion?</w:t>
      </w:r>
    </w:p>
    <w:p w14:paraId="48534ADE" w14:textId="5EF5FEB4" w:rsidR="00A92D1F" w:rsidRPr="00A92D1F" w:rsidRDefault="00A92D1F" w:rsidP="00A92D1F">
      <w:pPr>
        <w:contextualSpacing/>
      </w:pPr>
      <w:r>
        <w:t xml:space="preserve">Results relevant to these questions </w:t>
      </w:r>
      <w:r w:rsidR="00D5752A">
        <w:t xml:space="preserve">have been presented </w:t>
      </w:r>
      <w:r>
        <w:t xml:space="preserve">and the results are </w:t>
      </w:r>
      <w:r w:rsidR="004F2819">
        <w:t>discussed</w:t>
      </w:r>
      <w:r>
        <w:t xml:space="preserve"> in the following sub sections</w:t>
      </w:r>
      <w:r w:rsidR="00CE390D">
        <w:t>.</w:t>
      </w:r>
    </w:p>
    <w:p w14:paraId="3E6C02A9" w14:textId="77777777" w:rsidR="00C275B4" w:rsidRPr="00C275B4" w:rsidRDefault="00C275B4" w:rsidP="00C275B4">
      <w:pPr>
        <w:pStyle w:val="Listeavsnitt"/>
        <w:numPr>
          <w:ilvl w:val="0"/>
          <w:numId w:val="7"/>
        </w:numPr>
        <w:spacing w:before="240" w:after="240" w:line="240" w:lineRule="auto"/>
        <w:jc w:val="both"/>
        <w:outlineLvl w:val="1"/>
        <w:rPr>
          <w:b/>
          <w:vanish/>
        </w:rPr>
      </w:pPr>
    </w:p>
    <w:p w14:paraId="50AEE955" w14:textId="77777777" w:rsidR="00A92D1F" w:rsidRDefault="00A92D1F" w:rsidP="00A92D1F">
      <w:pPr>
        <w:pStyle w:val="Overskrift2"/>
      </w:pPr>
      <w:r>
        <w:t>Policy and incentives influence on the relative advantage of BEVs</w:t>
      </w:r>
    </w:p>
    <w:p w14:paraId="1156FBED" w14:textId="5346543D" w:rsidR="00A92D1F" w:rsidRPr="00A92D1F" w:rsidRDefault="00A92D1F" w:rsidP="00A92D1F">
      <w:r>
        <w:t>The Norwegian government have over two and a half decades introduced one BEV incentive after the other, summing up to a forceful package providing BEV buyers with unique advantages such as</w:t>
      </w:r>
      <w:r w:rsidR="004F2819">
        <w:t>,</w:t>
      </w:r>
      <w:r>
        <w:t xml:space="preserve"> access to bus lanes, free parking and free passing through toll road gates. BEVs are now as cheap as ICEVs in smaller vehicle classes and cheaper than ICEVs in larger vehicle classes. </w:t>
      </w:r>
      <w:r w:rsidRPr="0008202B">
        <w:t xml:space="preserve">In principle, everyone buying a new vehicle can afford </w:t>
      </w:r>
      <w:r>
        <w:t>BEV</w:t>
      </w:r>
      <w:r w:rsidRPr="0008202B">
        <w:t>s in Norway</w:t>
      </w:r>
      <w:r>
        <w:t xml:space="preserve"> thanks to the substantial purchase incentives. BEV owners have thus experienced that BEVs have relative advantages over ICEVs. </w:t>
      </w:r>
      <w:r w:rsidR="004F2819">
        <w:t xml:space="preserve">The continuation of the diffusion process will rely on incentives being available for some time into the future. </w:t>
      </w:r>
    </w:p>
    <w:p w14:paraId="510B6573" w14:textId="77777777" w:rsidR="00A92D1F" w:rsidRDefault="00A92D1F" w:rsidP="00A92D1F">
      <w:pPr>
        <w:pStyle w:val="Overskrift2"/>
      </w:pPr>
      <w:r>
        <w:t>Diffusion of BEVs among different users and markets and geographically</w:t>
      </w:r>
    </w:p>
    <w:p w14:paraId="3D3FC904" w14:textId="77777777" w:rsidR="00A92D1F" w:rsidRDefault="00A92D1F" w:rsidP="00A92D1F">
      <w:r>
        <w:t>The characteristics of early BEV owners match many of the characteristics of early user groups in Rogers’ theory</w:t>
      </w:r>
      <w:r w:rsidR="00D5752A">
        <w:t xml:space="preserve"> of diffusion</w:t>
      </w:r>
      <w:r>
        <w:t xml:space="preserve">, being younger university educated full time working men living in households with children, in the outskirts of cities. </w:t>
      </w:r>
    </w:p>
    <w:p w14:paraId="530F68EE" w14:textId="77777777" w:rsidR="00A92D1F" w:rsidRDefault="00A92D1F" w:rsidP="00A92D1F"/>
    <w:p w14:paraId="1139616F" w14:textId="77777777" w:rsidR="00A92D1F" w:rsidRDefault="00A92D1F" w:rsidP="00A92D1F">
      <w:r w:rsidRPr="0008202B">
        <w:t xml:space="preserve">From </w:t>
      </w:r>
      <w:r>
        <w:t xml:space="preserve">the </w:t>
      </w:r>
      <w:r w:rsidRPr="0008202B">
        <w:t xml:space="preserve">data on </w:t>
      </w:r>
      <w:r w:rsidRPr="0008202B">
        <w:rPr>
          <w:i/>
        </w:rPr>
        <w:t>regional diffusion,</w:t>
      </w:r>
      <w:r>
        <w:t xml:space="preserve"> it is evident that </w:t>
      </w:r>
      <w:r w:rsidRPr="00DA04AD">
        <w:t xml:space="preserve">BEVs were first taken into </w:t>
      </w:r>
      <w:r>
        <w:t>use by self-contained innovators living in cities and in some</w:t>
      </w:r>
      <w:r w:rsidRPr="00DA04AD">
        <w:t xml:space="preserve"> municipalities with particularly large local incentives</w:t>
      </w:r>
      <w:r>
        <w:t xml:space="preserve">. They typically got </w:t>
      </w:r>
      <w:r w:rsidRPr="00DA04AD">
        <w:t xml:space="preserve">information </w:t>
      </w:r>
      <w:r>
        <w:t xml:space="preserve">about the technology </w:t>
      </w:r>
      <w:r w:rsidRPr="00DA04AD">
        <w:t>from media. BEVs spread out radially from the</w:t>
      </w:r>
      <w:r>
        <w:t>se</w:t>
      </w:r>
      <w:r w:rsidRPr="00DA04AD">
        <w:t xml:space="preserve"> initial municipalities to neighbouring municipalities</w:t>
      </w:r>
      <w:r>
        <w:t xml:space="preserve">, and </w:t>
      </w:r>
      <w:r w:rsidRPr="00DA04AD">
        <w:t>within each municipality</w:t>
      </w:r>
      <w:r>
        <w:t>,</w:t>
      </w:r>
      <w:r w:rsidRPr="00DA04AD">
        <w:t xml:space="preserve"> </w:t>
      </w:r>
      <w:r>
        <w:t>supported by the</w:t>
      </w:r>
      <w:r w:rsidRPr="00DA04AD">
        <w:t xml:space="preserve"> </w:t>
      </w:r>
      <w:r>
        <w:t xml:space="preserve">information exchange in </w:t>
      </w:r>
      <w:r w:rsidRPr="00DA04AD">
        <w:t>interpersonal networks</w:t>
      </w:r>
      <w:r>
        <w:t xml:space="preserve"> after early adopters started adopting. The</w:t>
      </w:r>
      <w:r w:rsidRPr="00DA04AD">
        <w:t xml:space="preserve"> visibility and trialability </w:t>
      </w:r>
      <w:r>
        <w:t xml:space="preserve">increased rapidly through this initial diffusion leading to even more rapid adoption. </w:t>
      </w:r>
      <w:r w:rsidRPr="00DA04AD">
        <w:t xml:space="preserve">BEVs </w:t>
      </w:r>
      <w:r>
        <w:t>where</w:t>
      </w:r>
      <w:r w:rsidRPr="00DA04AD">
        <w:t xml:space="preserve"> in 201</w:t>
      </w:r>
      <w:r>
        <w:t>5</w:t>
      </w:r>
      <w:r w:rsidRPr="00DA04AD">
        <w:t xml:space="preserve">, </w:t>
      </w:r>
      <w:r>
        <w:t xml:space="preserve">five </w:t>
      </w:r>
      <w:r w:rsidRPr="00DA04AD">
        <w:t xml:space="preserve">years </w:t>
      </w:r>
      <w:r>
        <w:t>into</w:t>
      </w:r>
      <w:r w:rsidRPr="00DA04AD">
        <w:t xml:space="preserve"> the </w:t>
      </w:r>
      <w:r>
        <w:t xml:space="preserve">main </w:t>
      </w:r>
      <w:r w:rsidRPr="00DA04AD">
        <w:t>diffusion</w:t>
      </w:r>
      <w:r>
        <w:t xml:space="preserve"> process</w:t>
      </w:r>
      <w:r w:rsidRPr="00DA04AD">
        <w:t xml:space="preserve">, present all over the country. </w:t>
      </w:r>
      <w:r>
        <w:t>M</w:t>
      </w:r>
      <w:r w:rsidRPr="00DA04AD">
        <w:t>unicipalities</w:t>
      </w:r>
      <w:r>
        <w:t xml:space="preserve"> that had no adopters by the end of 2015</w:t>
      </w:r>
      <w:r w:rsidRPr="00DA04AD">
        <w:t>, are the least likely to adopt</w:t>
      </w:r>
      <w:r w:rsidR="00A96260">
        <w:t xml:space="preserve">, having </w:t>
      </w:r>
      <w:r>
        <w:t>cold climate</w:t>
      </w:r>
      <w:r w:rsidR="00A96260">
        <w:t>s and</w:t>
      </w:r>
      <w:r>
        <w:t xml:space="preserve"> long </w:t>
      </w:r>
      <w:r w:rsidR="00A96260">
        <w:t xml:space="preserve">travel </w:t>
      </w:r>
      <w:r>
        <w:t>distances</w:t>
      </w:r>
      <w:r w:rsidR="00D5752A">
        <w:t>.</w:t>
      </w:r>
    </w:p>
    <w:p w14:paraId="615B932C" w14:textId="77777777" w:rsidR="00A92D1F" w:rsidRPr="00DA04AD" w:rsidRDefault="00A92D1F" w:rsidP="00A92D1F"/>
    <w:p w14:paraId="1129F380" w14:textId="77777777" w:rsidR="00A92D1F" w:rsidRPr="00DA04AD" w:rsidRDefault="00A92D1F" w:rsidP="00A92D1F">
      <w:r w:rsidRPr="0008202B">
        <w:t xml:space="preserve">The </w:t>
      </w:r>
      <w:r w:rsidRPr="0008202B">
        <w:rPr>
          <w:i/>
        </w:rPr>
        <w:t xml:space="preserve">automotive </w:t>
      </w:r>
      <w:r>
        <w:rPr>
          <w:i/>
        </w:rPr>
        <w:t>BEV</w:t>
      </w:r>
      <w:r w:rsidRPr="0008202B">
        <w:rPr>
          <w:i/>
        </w:rPr>
        <w:t xml:space="preserve"> market diffusion</w:t>
      </w:r>
      <w:r w:rsidRPr="0008202B">
        <w:t xml:space="preserve"> however, in some aspects </w:t>
      </w:r>
      <w:r>
        <w:t xml:space="preserve">complies with, </w:t>
      </w:r>
      <w:r w:rsidRPr="0008202B">
        <w:t xml:space="preserve">and </w:t>
      </w:r>
      <w:r>
        <w:t>i</w:t>
      </w:r>
      <w:r w:rsidRPr="0008202B">
        <w:t>n other</w:t>
      </w:r>
      <w:r>
        <w:t xml:space="preserve"> aspect</w:t>
      </w:r>
      <w:r w:rsidRPr="0008202B">
        <w:t>s differ</w:t>
      </w:r>
      <w:r>
        <w:t xml:space="preserve">s from the theory. </w:t>
      </w:r>
      <w:r w:rsidRPr="00DA04AD">
        <w:t xml:space="preserve">Contrary to the general picture of diffusion of </w:t>
      </w:r>
      <w:r>
        <w:t xml:space="preserve">vehicle </w:t>
      </w:r>
      <w:r w:rsidRPr="00DA04AD">
        <w:t>innovations</w:t>
      </w:r>
      <w:r>
        <w:t xml:space="preserve"> from luxury to smaller vehicles</w:t>
      </w:r>
      <w:r w:rsidRPr="00DA04AD">
        <w:t xml:space="preserve">, the BEV fleet </w:t>
      </w:r>
      <w:r>
        <w:t xml:space="preserve">in Norway </w:t>
      </w:r>
      <w:r w:rsidRPr="00DA04AD">
        <w:t xml:space="preserve">evolved from small domestically produced </w:t>
      </w:r>
      <w:r>
        <w:t xml:space="preserve">BEVs. Later it became dominated by small, compact vehicles from traditional automakers. </w:t>
      </w:r>
      <w:r w:rsidRPr="00DA04AD">
        <w:t xml:space="preserve">Some </w:t>
      </w:r>
      <w:r>
        <w:t xml:space="preserve">Norwegian </w:t>
      </w:r>
      <w:r w:rsidRPr="00DA04AD">
        <w:t>provinces have</w:t>
      </w:r>
      <w:r>
        <w:t xml:space="preserve"> even</w:t>
      </w:r>
      <w:r w:rsidRPr="00DA04AD">
        <w:t xml:space="preserve"> reached BEV market shares </w:t>
      </w:r>
      <w:r>
        <w:t>above</w:t>
      </w:r>
      <w:r w:rsidRPr="00DA04AD">
        <w:t xml:space="preserve"> 20%, theoretically beyond critical mass indicating a self-sustaining further diffusion</w:t>
      </w:r>
      <w:r>
        <w:t>. These</w:t>
      </w:r>
      <w:r w:rsidRPr="00DA04AD">
        <w:t xml:space="preserve"> regions are</w:t>
      </w:r>
      <w:r>
        <w:t xml:space="preserve"> however</w:t>
      </w:r>
      <w:r w:rsidRPr="00DA04AD">
        <w:t xml:space="preserve"> too small to drive a </w:t>
      </w:r>
      <w:r>
        <w:t xml:space="preserve">diffusion </w:t>
      </w:r>
      <w:r w:rsidRPr="00DA04AD">
        <w:t>process by themselves.</w:t>
      </w:r>
      <w:r>
        <w:t xml:space="preserve"> </w:t>
      </w:r>
      <w:r w:rsidRPr="00DA04AD">
        <w:t>BEVs make up a substantial part of total vehicle sales for manufactures with BEVs available, and models with BEV and ICE versions have high BEV shares. When new BEVs are launched, new BEV customers</w:t>
      </w:r>
      <w:r>
        <w:t xml:space="preserve"> </w:t>
      </w:r>
      <w:r w:rsidR="00A96260">
        <w:t>are</w:t>
      </w:r>
      <w:r>
        <w:t xml:space="preserve"> recruited. </w:t>
      </w:r>
      <w:r w:rsidR="00A96260">
        <w:t>Sales</w:t>
      </w:r>
      <w:r w:rsidRPr="00DA04AD">
        <w:t xml:space="preserve"> </w:t>
      </w:r>
      <w:r>
        <w:t xml:space="preserve">however </w:t>
      </w:r>
      <w:r w:rsidRPr="00DA04AD">
        <w:t>depend strongly on the popularity of a few models, making the diffusi</w:t>
      </w:r>
      <w:r>
        <w:t xml:space="preserve">on process vulnerable to changing </w:t>
      </w:r>
      <w:r w:rsidRPr="00DA04AD">
        <w:t xml:space="preserve">preferences. </w:t>
      </w:r>
    </w:p>
    <w:p w14:paraId="731BD29D" w14:textId="77777777" w:rsidR="00A92D1F" w:rsidRPr="00A92D1F" w:rsidRDefault="00A92D1F" w:rsidP="00A92D1F">
      <w:pPr>
        <w:pStyle w:val="Overskrift2"/>
      </w:pPr>
      <w:r>
        <w:t xml:space="preserve">Technical, societal, individual and communicative diffusion factors </w:t>
      </w:r>
    </w:p>
    <w:p w14:paraId="0D6BD7E9" w14:textId="23D483D6" w:rsidR="00A96260" w:rsidRPr="00BE1EEF" w:rsidRDefault="003346D1" w:rsidP="00A96260">
      <w:pPr>
        <w:rPr>
          <w:szCs w:val="20"/>
        </w:rPr>
      </w:pPr>
      <w:r>
        <w:t>The compatibility with user needs have been achieved in multivehicle households</w:t>
      </w:r>
      <w:r w:rsidR="00F311D9">
        <w:t>: They have had few</w:t>
      </w:r>
      <w:r>
        <w:t xml:space="preserve"> challenges putting BEVs to use in daily transportation activities. They have the option to swap vehicles in the household</w:t>
      </w:r>
      <w:r w:rsidR="004F2819">
        <w:t>,</w:t>
      </w:r>
      <w:r>
        <w:t xml:space="preserve"> and range is thus no barrier to adoption. Some households that have only BEVs have </w:t>
      </w:r>
      <w:r w:rsidR="00F311D9">
        <w:t xml:space="preserve">also </w:t>
      </w:r>
      <w:r>
        <w:t xml:space="preserve">found ways to cope with range limitations. </w:t>
      </w:r>
      <w:r w:rsidR="00A96260" w:rsidRPr="00BE1EEF">
        <w:rPr>
          <w:i/>
          <w:szCs w:val="20"/>
        </w:rPr>
        <w:t xml:space="preserve">Incentives for charging infrastructure </w:t>
      </w:r>
      <w:r w:rsidR="00A96260" w:rsidRPr="00BE1EEF">
        <w:rPr>
          <w:szCs w:val="20"/>
        </w:rPr>
        <w:t>have been important to reduce range anxiety</w:t>
      </w:r>
      <w:r w:rsidR="00A96260">
        <w:rPr>
          <w:szCs w:val="20"/>
        </w:rPr>
        <w:t xml:space="preserve"> in this group</w:t>
      </w:r>
      <w:r w:rsidR="00A96260" w:rsidRPr="00BE1EEF">
        <w:rPr>
          <w:szCs w:val="20"/>
        </w:rPr>
        <w:t>.</w:t>
      </w:r>
    </w:p>
    <w:p w14:paraId="7D46B752" w14:textId="77777777" w:rsidR="00F311D9" w:rsidRPr="0008202B" w:rsidRDefault="009032FE" w:rsidP="009032FE">
      <w:r>
        <w:lastRenderedPageBreak/>
        <w:t>E</w:t>
      </w:r>
      <w:r w:rsidR="00F311D9" w:rsidRPr="0008202B">
        <w:t>arly adopters can be located anywhere in the country as incentives are</w:t>
      </w:r>
      <w:r w:rsidR="00F311D9">
        <w:t xml:space="preserve"> unlimited and available</w:t>
      </w:r>
      <w:r w:rsidR="00F311D9" w:rsidRPr="0008202B">
        <w:t xml:space="preserve"> nationwide.</w:t>
      </w:r>
      <w:r>
        <w:t xml:space="preserve"> Some of the incentives have provided a geographical means to spread BEV technology for instance when new toll roads have been established. </w:t>
      </w:r>
      <w:r w:rsidR="00F311D9" w:rsidRPr="0008202B">
        <w:t xml:space="preserve"> </w:t>
      </w:r>
    </w:p>
    <w:p w14:paraId="1CF3AF0A" w14:textId="77777777" w:rsidR="003346D1" w:rsidRDefault="003346D1" w:rsidP="003346D1"/>
    <w:p w14:paraId="4B8EDBFD" w14:textId="480B2AEF" w:rsidR="003346D1" w:rsidRDefault="003346D1" w:rsidP="003346D1">
      <w:r>
        <w:t>Trialability has been possible in niche markets</w:t>
      </w:r>
      <w:r w:rsidR="004F2819">
        <w:t>.</w:t>
      </w:r>
      <w:r>
        <w:t xml:space="preserve"> </w:t>
      </w:r>
      <w:r w:rsidR="004F2819">
        <w:t>With the BEV share of the fleet passing 2.8% in 2015, m</w:t>
      </w:r>
      <w:r>
        <w:t>ost Norwegian</w:t>
      </w:r>
      <w:r w:rsidR="009032FE">
        <w:t>s</w:t>
      </w:r>
      <w:r>
        <w:t xml:space="preserve"> now know someone that owns and operate BEVs</w:t>
      </w:r>
      <w:r w:rsidR="00DD74D8">
        <w:t xml:space="preserve">, </w:t>
      </w:r>
      <w:r w:rsidR="004F2819">
        <w:t>that can provide</w:t>
      </w:r>
      <w:r w:rsidR="00DD74D8">
        <w:t xml:space="preserve"> reliable information and</w:t>
      </w:r>
      <w:r w:rsidR="004F2819">
        <w:t xml:space="preserve"> it makes </w:t>
      </w:r>
      <w:r>
        <w:t>it easy to test them. Observability and visibility ha</w:t>
      </w:r>
      <w:r w:rsidR="00DD74D8">
        <w:t>ve</w:t>
      </w:r>
      <w:r>
        <w:t xml:space="preserve"> been achieved by adopting </w:t>
      </w:r>
      <w:r w:rsidR="00DD74D8">
        <w:t xml:space="preserve">specific number plates for BEVs and drivers </w:t>
      </w:r>
      <w:r>
        <w:t xml:space="preserve">have seen BEVs pass by in the bus lanes during rush hours. These long term policies allowed consumers to gradually </w:t>
      </w:r>
      <w:r w:rsidR="00DD74D8">
        <w:t>become</w:t>
      </w:r>
      <w:r>
        <w:t xml:space="preserve"> accustomed to BEVs</w:t>
      </w:r>
      <w:r w:rsidR="00DD74D8">
        <w:t xml:space="preserve">. The </w:t>
      </w:r>
      <w:r>
        <w:t xml:space="preserve">market </w:t>
      </w:r>
      <w:r w:rsidR="00DD74D8">
        <w:t>has</w:t>
      </w:r>
      <w:r>
        <w:t xml:space="preserve"> moved beyond early users into the early majority group, a vital step in diffusion of innovations. </w:t>
      </w:r>
    </w:p>
    <w:p w14:paraId="429A4C15" w14:textId="77777777" w:rsidR="003346D1" w:rsidRDefault="003346D1" w:rsidP="003346D1"/>
    <w:p w14:paraId="34658CEF" w14:textId="52216594" w:rsidR="00B23D40" w:rsidRDefault="00B23D40" w:rsidP="008C2C7A">
      <w:r w:rsidRPr="0008202B">
        <w:rPr>
          <w:i/>
        </w:rPr>
        <w:t>The communication process</w:t>
      </w:r>
      <w:r w:rsidRPr="0008202B">
        <w:t xml:space="preserve"> has supported </w:t>
      </w:r>
      <w:r>
        <w:t>BEV</w:t>
      </w:r>
      <w:r w:rsidRPr="0008202B">
        <w:t xml:space="preserve"> diffusion</w:t>
      </w:r>
      <w:r w:rsidR="008C2C7A">
        <w:t xml:space="preserve"> through </w:t>
      </w:r>
      <w:r w:rsidRPr="00D017D4">
        <w:t>the development of new types</w:t>
      </w:r>
      <w:r w:rsidR="00D017D4">
        <w:t xml:space="preserve"> of organisations helping users and</w:t>
      </w:r>
      <w:r w:rsidRPr="00D017D4">
        <w:t xml:space="preserve"> the car industry</w:t>
      </w:r>
      <w:r w:rsidR="00A96260">
        <w:t>. N</w:t>
      </w:r>
      <w:r w:rsidR="00D017D4">
        <w:t xml:space="preserve">ew </w:t>
      </w:r>
      <w:r w:rsidRPr="00D017D4">
        <w:t xml:space="preserve">channels for cooperation between organisations, public authorities and </w:t>
      </w:r>
      <w:r w:rsidR="00124AF4">
        <w:t xml:space="preserve">the </w:t>
      </w:r>
      <w:r w:rsidRPr="00D017D4">
        <w:t>car industry</w:t>
      </w:r>
      <w:r w:rsidR="00A96260">
        <w:t xml:space="preserve"> have been introduced and t</w:t>
      </w:r>
      <w:r w:rsidR="00CE390D">
        <w:t xml:space="preserve">he communication has mostly been positive. </w:t>
      </w:r>
      <w:r w:rsidR="008C2C7A">
        <w:t>T</w:t>
      </w:r>
      <w:r w:rsidRPr="00D017D4">
        <w:t xml:space="preserve">he rapid development in the market and the technology have been leading to a large media exposure that </w:t>
      </w:r>
      <w:r w:rsidR="008C2C7A">
        <w:t xml:space="preserve">helped </w:t>
      </w:r>
      <w:r w:rsidRPr="00D017D4">
        <w:t>the</w:t>
      </w:r>
      <w:r w:rsidR="008C2C7A">
        <w:t xml:space="preserve"> initial</w:t>
      </w:r>
      <w:r w:rsidRPr="00D017D4">
        <w:t xml:space="preserve"> market</w:t>
      </w:r>
      <w:r w:rsidR="00107450">
        <w:t xml:space="preserve"> to grow</w:t>
      </w:r>
      <w:r w:rsidRPr="00D017D4">
        <w:t>.</w:t>
      </w:r>
      <w:r w:rsidR="008C2C7A">
        <w:t xml:space="preserve"> </w:t>
      </w:r>
      <w:r w:rsidRPr="00D017D4">
        <w:t xml:space="preserve">A large share of BEV owners </w:t>
      </w:r>
      <w:r w:rsidR="008C2C7A">
        <w:t xml:space="preserve">now </w:t>
      </w:r>
      <w:r w:rsidR="00107450">
        <w:t>reports</w:t>
      </w:r>
      <w:r w:rsidRPr="00D017D4">
        <w:t xml:space="preserve"> that they got information from friends or family, which has higher “quality” in the diffusion process than information from the press. Diffusion agents have been successful in getting incentives established and keeping </w:t>
      </w:r>
      <w:r w:rsidR="008C2C7A">
        <w:t>guard over their continuation.</w:t>
      </w:r>
    </w:p>
    <w:p w14:paraId="428EF74E" w14:textId="77777777" w:rsidR="00CE390D" w:rsidRPr="00D017D4" w:rsidRDefault="00CE390D" w:rsidP="00CE390D">
      <w:pPr>
        <w:pStyle w:val="Overskrift2"/>
      </w:pPr>
      <w:r>
        <w:t>Overall assessment</w:t>
      </w:r>
    </w:p>
    <w:p w14:paraId="01B23D9D" w14:textId="77777777" w:rsidR="00CE390D" w:rsidRPr="0008202B" w:rsidRDefault="00CE390D" w:rsidP="00CE390D">
      <w:r w:rsidRPr="0008202B">
        <w:t xml:space="preserve">During the diffusion period, important changes in crucial decisive factors have </w:t>
      </w:r>
      <w:r>
        <w:t>occurred</w:t>
      </w:r>
      <w:r w:rsidRPr="0008202B">
        <w:t xml:space="preserve">. </w:t>
      </w:r>
      <w:r>
        <w:t>T</w:t>
      </w:r>
      <w:r w:rsidRPr="0008202B">
        <w:t>hese changes</w:t>
      </w:r>
      <w:r>
        <w:t xml:space="preserve"> make the basis of our </w:t>
      </w:r>
      <w:r w:rsidRPr="0008202B">
        <w:t>understand</w:t>
      </w:r>
      <w:r>
        <w:t>ing of</w:t>
      </w:r>
      <w:r w:rsidRPr="0008202B">
        <w:t xml:space="preserve"> the Norwegian success.</w:t>
      </w:r>
      <w:r>
        <w:t xml:space="preserve"> </w:t>
      </w:r>
      <w:r w:rsidRPr="0008202B">
        <w:rPr>
          <w:i/>
        </w:rPr>
        <w:t xml:space="preserve">The </w:t>
      </w:r>
      <w:r>
        <w:rPr>
          <w:i/>
        </w:rPr>
        <w:t>BEV</w:t>
      </w:r>
      <w:r w:rsidRPr="0008202B">
        <w:rPr>
          <w:i/>
        </w:rPr>
        <w:t xml:space="preserve"> technology</w:t>
      </w:r>
      <w:r w:rsidRPr="0008202B">
        <w:t xml:space="preserve"> changed</w:t>
      </w:r>
      <w:r>
        <w:t xml:space="preserve"> and a BEV sold in 2015 is not the same as those sold earlier</w:t>
      </w:r>
      <w:r w:rsidRPr="0008202B">
        <w:t xml:space="preserve">. Batteries last longer, range is increased, and </w:t>
      </w:r>
      <w:r>
        <w:t>BEV</w:t>
      </w:r>
      <w:r w:rsidRPr="0008202B">
        <w:t xml:space="preserve">s now cover most daily trips. The </w:t>
      </w:r>
      <w:r>
        <w:t>BEV</w:t>
      </w:r>
      <w:r w:rsidRPr="0008202B">
        <w:t xml:space="preserve"> characteristics now resemble</w:t>
      </w:r>
      <w:r>
        <w:t xml:space="preserve"> </w:t>
      </w:r>
      <w:r w:rsidRPr="0008202B">
        <w:t>ICE</w:t>
      </w:r>
      <w:r>
        <w:t>Vs</w:t>
      </w:r>
      <w:r w:rsidRPr="0008202B">
        <w:t xml:space="preserve"> in comfort, purchase price, quality, durability, safety and reliability, though deviating when it comes to range and recharge.</w:t>
      </w:r>
      <w:r w:rsidRPr="00CE390D">
        <w:rPr>
          <w:i/>
        </w:rPr>
        <w:t xml:space="preserve"> </w:t>
      </w:r>
      <w:r w:rsidRPr="0008202B">
        <w:rPr>
          <w:i/>
        </w:rPr>
        <w:t>The users’ needs</w:t>
      </w:r>
      <w:r w:rsidRPr="0008202B">
        <w:t xml:space="preserve"> have not changed</w:t>
      </w:r>
      <w:r>
        <w:t>,</w:t>
      </w:r>
      <w:r w:rsidRPr="0008202B">
        <w:t xml:space="preserve"> but their attitudes have become more positive over time, helped by interpersonal communication with peers</w:t>
      </w:r>
      <w:r>
        <w:t>,</w:t>
      </w:r>
      <w:r w:rsidRPr="0008202B">
        <w:t xml:space="preserve"> their own experiences</w:t>
      </w:r>
      <w:r>
        <w:t xml:space="preserve"> and improved technology</w:t>
      </w:r>
      <w:r w:rsidRPr="0008202B">
        <w:t xml:space="preserve">. </w:t>
      </w:r>
      <w:r w:rsidR="00107450">
        <w:t>They have also got a more positive attitude to the environmental aspects of electric vehicles.</w:t>
      </w:r>
    </w:p>
    <w:p w14:paraId="2DF24E15" w14:textId="77777777" w:rsidR="00CE390D" w:rsidRDefault="00CE390D" w:rsidP="00CE390D"/>
    <w:p w14:paraId="43AA4F40" w14:textId="77777777" w:rsidR="00B23D40" w:rsidRDefault="00B23D40" w:rsidP="008C2C7A">
      <w:r w:rsidRPr="0008202B">
        <w:t xml:space="preserve">The diffusion seems to have gone at maximum speed over the past. The </w:t>
      </w:r>
      <w:r w:rsidRPr="0008202B">
        <w:rPr>
          <w:i/>
        </w:rPr>
        <w:t xml:space="preserve">users’ needs </w:t>
      </w:r>
      <w:r w:rsidR="00A96260">
        <w:rPr>
          <w:i/>
        </w:rPr>
        <w:t>have been</w:t>
      </w:r>
      <w:r w:rsidRPr="0008202B">
        <w:rPr>
          <w:i/>
        </w:rPr>
        <w:t xml:space="preserve"> met</w:t>
      </w:r>
      <w:r w:rsidR="008C2C7A">
        <w:t xml:space="preserve">. </w:t>
      </w:r>
      <w:r w:rsidRPr="00D017D4">
        <w:t>Prices are competitive, and local user incentives give BEV owners relative advantages over other vehicle owners. The majority of users find that an BEV is the best car for their need</w:t>
      </w:r>
      <w:r w:rsidR="008C2C7A">
        <w:t xml:space="preserve">, meeting daily travel needs. </w:t>
      </w:r>
      <w:r w:rsidRPr="00D017D4">
        <w:t xml:space="preserve">BEVs are </w:t>
      </w:r>
      <w:r w:rsidR="008C2C7A">
        <w:t xml:space="preserve">now </w:t>
      </w:r>
      <w:r w:rsidRPr="00D017D4">
        <w:t>driven as much as other vehicles per year</w:t>
      </w:r>
      <w:r w:rsidR="00A96260">
        <w:t>, a further indication of</w:t>
      </w:r>
      <w:r w:rsidR="008C2C7A">
        <w:t xml:space="preserve"> their utility for users. </w:t>
      </w:r>
      <w:r w:rsidRPr="00D017D4">
        <w:t xml:space="preserve">People </w:t>
      </w:r>
      <w:r w:rsidR="008C2C7A">
        <w:t xml:space="preserve">learn to </w:t>
      </w:r>
      <w:r w:rsidRPr="00D017D4">
        <w:t>cope with range limitations. Multi-vehicle households have minor problems adapting, whereas single vehicle households may drop a journey o</w:t>
      </w:r>
      <w:r w:rsidR="00124AF4">
        <w:t>r borrow</w:t>
      </w:r>
      <w:r w:rsidRPr="00D017D4">
        <w:t xml:space="preserve"> an ICE</w:t>
      </w:r>
      <w:r w:rsidR="00124AF4">
        <w:t>V</w:t>
      </w:r>
      <w:r w:rsidRPr="00D017D4">
        <w:t xml:space="preserve">. </w:t>
      </w:r>
      <w:r w:rsidR="00D017D4" w:rsidRPr="00D017D4">
        <w:t xml:space="preserve">Both </w:t>
      </w:r>
      <w:r w:rsidR="00D017D4">
        <w:t xml:space="preserve">groups </w:t>
      </w:r>
      <w:r w:rsidRPr="00D017D4">
        <w:t xml:space="preserve">say they will continue to buy BEVs. </w:t>
      </w:r>
    </w:p>
    <w:p w14:paraId="77AF3000" w14:textId="77777777" w:rsidR="00DD74D8" w:rsidRDefault="00DD74D8" w:rsidP="00DD74D8"/>
    <w:p w14:paraId="16D16378" w14:textId="743D89D5" w:rsidR="00B23D40" w:rsidRDefault="00B23D40" w:rsidP="00BE1EEF">
      <w:pPr>
        <w:rPr>
          <w:szCs w:val="20"/>
        </w:rPr>
      </w:pPr>
      <w:bookmarkStart w:id="38" w:name="_Toc409611484"/>
      <w:bookmarkStart w:id="39" w:name="_Toc409611485"/>
      <w:bookmarkEnd w:id="38"/>
      <w:bookmarkEnd w:id="39"/>
      <w:r w:rsidRPr="0008202B">
        <w:t>The</w:t>
      </w:r>
      <w:r>
        <w:t xml:space="preserve"> </w:t>
      </w:r>
      <w:r w:rsidRPr="0008202B">
        <w:t>support given by political goals and incentives</w:t>
      </w:r>
      <w:r w:rsidRPr="00BE1EEF">
        <w:rPr>
          <w:i/>
        </w:rPr>
        <w:t xml:space="preserve"> has increased immensely</w:t>
      </w:r>
      <w:r w:rsidRPr="0008202B">
        <w:t xml:space="preserve"> </w:t>
      </w:r>
      <w:r>
        <w:t xml:space="preserve">during </w:t>
      </w:r>
      <w:r w:rsidR="00A96260">
        <w:t xml:space="preserve">the last twenty years. </w:t>
      </w:r>
      <w:r w:rsidRPr="00BE1EEF">
        <w:rPr>
          <w:i/>
          <w:szCs w:val="20"/>
        </w:rPr>
        <w:t xml:space="preserve">Incentives were necessary to bridge the cost gap </w:t>
      </w:r>
      <w:r w:rsidRPr="00BE1EEF">
        <w:rPr>
          <w:szCs w:val="20"/>
        </w:rPr>
        <w:t xml:space="preserve">between BEVs and ICEs. </w:t>
      </w:r>
      <w:r w:rsidRPr="00BE1EEF">
        <w:rPr>
          <w:i/>
          <w:szCs w:val="20"/>
        </w:rPr>
        <w:t xml:space="preserve">Incentives have given BEVs the necessary relative advantages </w:t>
      </w:r>
      <w:r w:rsidRPr="00BE1EEF">
        <w:rPr>
          <w:szCs w:val="20"/>
        </w:rPr>
        <w:t>motivating a purchase. BEVs have become competitive through cost reductions</w:t>
      </w:r>
      <w:r w:rsidR="00A96260">
        <w:rPr>
          <w:szCs w:val="20"/>
        </w:rPr>
        <w:t>. I</w:t>
      </w:r>
      <w:r w:rsidRPr="00BE1EEF">
        <w:rPr>
          <w:szCs w:val="20"/>
        </w:rPr>
        <w:t xml:space="preserve">ncentives </w:t>
      </w:r>
      <w:r w:rsidR="00A96260">
        <w:rPr>
          <w:szCs w:val="20"/>
        </w:rPr>
        <w:t>nudge consumers into buying</w:t>
      </w:r>
      <w:r w:rsidRPr="00BE1EEF">
        <w:rPr>
          <w:szCs w:val="20"/>
        </w:rPr>
        <w:t xml:space="preserve"> BEVs</w:t>
      </w:r>
      <w:r w:rsidR="00A96260">
        <w:rPr>
          <w:szCs w:val="20"/>
        </w:rPr>
        <w:t xml:space="preserve"> rather than ICEVs</w:t>
      </w:r>
      <w:r w:rsidRPr="00BE1EEF">
        <w:rPr>
          <w:szCs w:val="20"/>
        </w:rPr>
        <w:t xml:space="preserve">. </w:t>
      </w:r>
    </w:p>
    <w:p w14:paraId="227320A0" w14:textId="77777777" w:rsidR="00772E40" w:rsidRDefault="00772E40" w:rsidP="00772E40">
      <w:pPr>
        <w:pStyle w:val="Overskrift1"/>
      </w:pPr>
      <w:r>
        <w:t>Conclusion</w:t>
      </w:r>
    </w:p>
    <w:p w14:paraId="35B76E6C" w14:textId="63C364E2" w:rsidR="00053A25" w:rsidRDefault="00053A25" w:rsidP="00053A25">
      <w:pPr>
        <w:rPr>
          <w:lang w:val="en"/>
        </w:rPr>
      </w:pPr>
      <w:r>
        <w:rPr>
          <w:color w:val="000000"/>
        </w:rPr>
        <w:t>Norway has developed and introduced a broad spectre of incentives, resulting in the largest BEV diffusion in the world</w:t>
      </w:r>
      <w:r w:rsidR="004F2819">
        <w:rPr>
          <w:color w:val="000000"/>
        </w:rPr>
        <w:t xml:space="preserve">. Norway has become </w:t>
      </w:r>
      <w:r w:rsidR="004F2819" w:rsidRPr="0008202B">
        <w:t xml:space="preserve">Norway </w:t>
      </w:r>
      <w:r w:rsidR="004F2819">
        <w:t xml:space="preserve">has become </w:t>
      </w:r>
      <w:r w:rsidR="004F2819" w:rsidRPr="0008202B">
        <w:t xml:space="preserve">an arena for testing </w:t>
      </w:r>
      <w:r w:rsidR="004F2819">
        <w:t xml:space="preserve">the </w:t>
      </w:r>
      <w:r w:rsidR="004F2819" w:rsidRPr="0008202B">
        <w:t xml:space="preserve">effectiveness of </w:t>
      </w:r>
      <w:r w:rsidR="004F2819">
        <w:t>electromobility incentives</w:t>
      </w:r>
      <w:r>
        <w:rPr>
          <w:color w:val="000000"/>
        </w:rPr>
        <w:t xml:space="preserve">. </w:t>
      </w:r>
      <w:r>
        <w:t>I</w:t>
      </w:r>
      <w:r w:rsidRPr="0008202B">
        <w:t>mproved technology and reduced cost</w:t>
      </w:r>
      <w:r>
        <w:t>s</w:t>
      </w:r>
      <w:r w:rsidRPr="0008202B">
        <w:t xml:space="preserve"> combined with</w:t>
      </w:r>
      <w:r>
        <w:t xml:space="preserve"> these</w:t>
      </w:r>
      <w:r w:rsidRPr="0008202B">
        <w:t xml:space="preserve"> incentives have resulted in Norwegian </w:t>
      </w:r>
      <w:r>
        <w:t>BEV</w:t>
      </w:r>
      <w:r w:rsidRPr="0008202B">
        <w:t xml:space="preserve"> buyers experiencing that </w:t>
      </w:r>
      <w:r>
        <w:t>BEV</w:t>
      </w:r>
      <w:r w:rsidRPr="0008202B">
        <w:t>s have many relative advantages over ICE</w:t>
      </w:r>
      <w:r>
        <w:t>Vs</w:t>
      </w:r>
      <w:r w:rsidRPr="0008202B">
        <w:t>. The limited range is not a hindrance to adopt</w:t>
      </w:r>
      <w:r>
        <w:t xml:space="preserve">ion in user groups such as multi vehicle households. </w:t>
      </w:r>
      <w:r>
        <w:rPr>
          <w:color w:val="000000"/>
        </w:rPr>
        <w:t>Since t</w:t>
      </w:r>
      <w:r>
        <w:rPr>
          <w:lang w:val="en"/>
        </w:rPr>
        <w:t>he prices of BEVs have been reduced, the batteries improved and more brands are selling BEVs, less incentives will be needed to promote BEVs in the future. </w:t>
      </w:r>
      <w:r w:rsidRPr="0008202B">
        <w:t>Heavy incentives are efficient in making the diffusion speed up</w:t>
      </w:r>
      <w:r>
        <w:t>,</w:t>
      </w:r>
      <w:r w:rsidRPr="0008202B">
        <w:t xml:space="preserve"> but </w:t>
      </w:r>
      <w:r w:rsidRPr="001A17BA">
        <w:t>with the risk that the market will not be sustainable when they are removed</w:t>
      </w:r>
      <w:r>
        <w:t xml:space="preserve"> or downsized as t</w:t>
      </w:r>
      <w:r w:rsidRPr="0008202B">
        <w:t>he motivation to continue adoption may be reduced. Incentives</w:t>
      </w:r>
      <w:r>
        <w:t xml:space="preserve"> may,</w:t>
      </w:r>
      <w:r w:rsidRPr="0008202B">
        <w:t xml:space="preserve"> however</w:t>
      </w:r>
      <w:r>
        <w:t>,</w:t>
      </w:r>
      <w:r w:rsidRPr="0008202B">
        <w:t xml:space="preserve"> </w:t>
      </w:r>
      <w:r>
        <w:t>make</w:t>
      </w:r>
      <w:r w:rsidRPr="0008202B">
        <w:t xml:space="preserve"> </w:t>
      </w:r>
      <w:r w:rsidRPr="0008202B">
        <w:lastRenderedPageBreak/>
        <w:t>people</w:t>
      </w:r>
      <w:r>
        <w:t xml:space="preserve"> buy</w:t>
      </w:r>
      <w:r w:rsidRPr="0008202B">
        <w:t xml:space="preserve"> vehicles</w:t>
      </w:r>
      <w:r>
        <w:t xml:space="preserve"> that</w:t>
      </w:r>
      <w:r w:rsidRPr="0008202B">
        <w:t xml:space="preserve"> they discover are useful for more of their transport needs than initially thought</w:t>
      </w:r>
      <w:r w:rsidR="001B75C5">
        <w:t xml:space="preserve">, especially so since they offer a possibility </w:t>
      </w:r>
      <w:r w:rsidR="004F2819">
        <w:t>of</w:t>
      </w:r>
      <w:r w:rsidR="001B75C5">
        <w:t xml:space="preserve"> environmental </w:t>
      </w:r>
      <w:r w:rsidR="004F2819">
        <w:t xml:space="preserve">friendly </w:t>
      </w:r>
      <w:r w:rsidR="001B75C5">
        <w:t>driving</w:t>
      </w:r>
      <w:r>
        <w:t>.</w:t>
      </w:r>
    </w:p>
    <w:p w14:paraId="5913E5F9" w14:textId="77777777" w:rsidR="00053A25" w:rsidRDefault="00053A25" w:rsidP="00053A25">
      <w:pPr>
        <w:rPr>
          <w:lang w:val="en"/>
        </w:rPr>
      </w:pPr>
    </w:p>
    <w:p w14:paraId="6B6A58E5" w14:textId="77777777" w:rsidR="00053A25" w:rsidRDefault="00053A25" w:rsidP="00053A25">
      <w:r w:rsidRPr="0008202B">
        <w:t xml:space="preserve">An achievement of the </w:t>
      </w:r>
      <w:r>
        <w:t>BEV</w:t>
      </w:r>
      <w:r w:rsidRPr="0008202B">
        <w:t xml:space="preserve"> policy is that national, regional and local governments, businesses and NGOs have been motivated to move in the same direction</w:t>
      </w:r>
      <w:r>
        <w:t xml:space="preserve"> and this could serve as a guiding line for developing other nations BEV markets</w:t>
      </w:r>
      <w:r w:rsidRPr="0008202B">
        <w:t>.</w:t>
      </w:r>
    </w:p>
    <w:p w14:paraId="69E1486B" w14:textId="77777777" w:rsidR="00053A25" w:rsidRDefault="00053A25" w:rsidP="00053A25"/>
    <w:p w14:paraId="02A41B33" w14:textId="091E6DE9" w:rsidR="00053A25" w:rsidRPr="0008202B" w:rsidRDefault="00053A25" w:rsidP="00053A25">
      <w:r w:rsidRPr="0008202B">
        <w:t xml:space="preserve">There is potential for future growth supported by </w:t>
      </w:r>
      <w:r>
        <w:t xml:space="preserve">communication in </w:t>
      </w:r>
      <w:r w:rsidRPr="0008202B">
        <w:t xml:space="preserve">interpersonal networks and the availability of new longer-range models attracting new customer groups. </w:t>
      </w:r>
    </w:p>
    <w:p w14:paraId="6CB41D56" w14:textId="77777777" w:rsidR="00053A25" w:rsidRDefault="00053A25" w:rsidP="00053A25">
      <w:pPr>
        <w:rPr>
          <w:i/>
        </w:rPr>
      </w:pPr>
    </w:p>
    <w:p w14:paraId="54D653B8" w14:textId="3C7243AB" w:rsidR="00053A25" w:rsidRDefault="00053A25" w:rsidP="00053A25">
      <w:r w:rsidRPr="0008202B">
        <w:rPr>
          <w:i/>
        </w:rPr>
        <w:t xml:space="preserve">The diffusion of </w:t>
      </w:r>
      <w:r>
        <w:rPr>
          <w:i/>
        </w:rPr>
        <w:t>BEV</w:t>
      </w:r>
      <w:r w:rsidRPr="0008202B">
        <w:rPr>
          <w:i/>
        </w:rPr>
        <w:t>s in Norway closely resembles what is expected from diffusion theory</w:t>
      </w:r>
      <w:r>
        <w:rPr>
          <w:i/>
        </w:rPr>
        <w:t>, proving the usefulness of the theory in analysing diffusion of innovation</w:t>
      </w:r>
      <w:r w:rsidR="009D217F">
        <w:rPr>
          <w:i/>
        </w:rPr>
        <w:t>s</w:t>
      </w:r>
      <w:r w:rsidR="00710D3F">
        <w:rPr>
          <w:i/>
        </w:rPr>
        <w:t xml:space="preserve"> in markets where policies are stable</w:t>
      </w:r>
      <w:r w:rsidRPr="0008202B">
        <w:rPr>
          <w:i/>
        </w:rPr>
        <w:t>.</w:t>
      </w:r>
      <w:r w:rsidRPr="0008202B">
        <w:t xml:space="preserve"> The </w:t>
      </w:r>
      <w:r w:rsidR="00637330">
        <w:t xml:space="preserve">future </w:t>
      </w:r>
      <w:r w:rsidRPr="0008202B">
        <w:t>rate of diffusion will be heav</w:t>
      </w:r>
      <w:r>
        <w:t>il</w:t>
      </w:r>
      <w:r w:rsidRPr="0008202B">
        <w:t xml:space="preserve">y influenced by possible modifications to the societal and economic framework and cooperation. The Norwegian </w:t>
      </w:r>
      <w:r>
        <w:t>BEV</w:t>
      </w:r>
      <w:r w:rsidRPr="0008202B">
        <w:t xml:space="preserve"> market is</w:t>
      </w:r>
      <w:r>
        <w:t>,</w:t>
      </w:r>
      <w:r w:rsidRPr="0008202B">
        <w:t xml:space="preserve"> however</w:t>
      </w:r>
      <w:r>
        <w:t>,</w:t>
      </w:r>
      <w:r w:rsidRPr="0008202B">
        <w:t xml:space="preserve"> </w:t>
      </w:r>
      <w:r w:rsidR="00637330">
        <w:t xml:space="preserve">also </w:t>
      </w:r>
      <w:r w:rsidRPr="0008202B">
        <w:t>depending on other markets. If diffusion do</w:t>
      </w:r>
      <w:r>
        <w:t>es</w:t>
      </w:r>
      <w:r w:rsidRPr="0008202B">
        <w:t xml:space="preserve"> not catch on in Europe</w:t>
      </w:r>
      <w:r>
        <w:t>,</w:t>
      </w:r>
      <w:r w:rsidRPr="0008202B">
        <w:t xml:space="preserve"> the diffusion may slow down. </w:t>
      </w:r>
      <w:r w:rsidR="008E3ED2">
        <w:t xml:space="preserve">Also the influx of PHEVs into the market from 2016 could affect BEV diffusion. </w:t>
      </w:r>
    </w:p>
    <w:p w14:paraId="3D56A4C4" w14:textId="77777777" w:rsidR="00772E40" w:rsidRDefault="007B32F2" w:rsidP="00772E40">
      <w:pPr>
        <w:pStyle w:val="Overskrift1"/>
        <w:numPr>
          <w:ilvl w:val="0"/>
          <w:numId w:val="0"/>
        </w:numPr>
      </w:pPr>
      <w:r>
        <w:t>Acknowledge</w:t>
      </w:r>
      <w:r w:rsidR="00772E40">
        <w:t>ment</w:t>
      </w:r>
    </w:p>
    <w:p w14:paraId="3FFBD4C3" w14:textId="77777777" w:rsidR="00054BC3" w:rsidRDefault="00054BC3" w:rsidP="00054BC3">
      <w:pPr>
        <w:rPr>
          <w:rFonts w:eastAsiaTheme="minorHAnsi"/>
          <w:color w:val="3A2A98"/>
          <w:lang w:val="en-US"/>
        </w:rPr>
      </w:pPr>
      <w:r w:rsidRPr="00054BC3">
        <w:rPr>
          <w:rFonts w:eastAsiaTheme="minorHAnsi"/>
          <w:lang w:val="en-US"/>
        </w:rPr>
        <w:t>This paper is a result of the project Compett</w:t>
      </w:r>
      <w:r>
        <w:rPr>
          <w:rFonts w:eastAsiaTheme="minorHAnsi"/>
          <w:lang w:val="en-US"/>
        </w:rPr>
        <w:t xml:space="preserve"> </w:t>
      </w:r>
      <w:r w:rsidRPr="00054BC3">
        <w:rPr>
          <w:rFonts w:eastAsiaTheme="minorHAnsi"/>
          <w:lang w:val="en-US"/>
        </w:rPr>
        <w:t>(Competitive Electric Town Transport), financed jointly by</w:t>
      </w:r>
      <w:r>
        <w:rPr>
          <w:rFonts w:eastAsiaTheme="minorHAnsi"/>
          <w:lang w:val="en-US"/>
        </w:rPr>
        <w:t xml:space="preserve"> </w:t>
      </w:r>
      <w:r w:rsidRPr="00054BC3">
        <w:rPr>
          <w:rFonts w:eastAsiaTheme="minorHAnsi"/>
          <w:lang w:val="en-US"/>
        </w:rPr>
        <w:t>Electromobility+, Transnova and The Research Council of Norway,</w:t>
      </w:r>
      <w:r>
        <w:rPr>
          <w:rFonts w:eastAsiaTheme="minorHAnsi"/>
          <w:lang w:val="en-US"/>
        </w:rPr>
        <w:t xml:space="preserve"> </w:t>
      </w:r>
      <w:r w:rsidRPr="00054BC3">
        <w:rPr>
          <w:rFonts w:eastAsiaTheme="minorHAnsi"/>
          <w:lang w:val="en-US"/>
        </w:rPr>
        <w:t>FFG of Austria and The Ministry of Science, Innovation and</w:t>
      </w:r>
      <w:r>
        <w:rPr>
          <w:rFonts w:eastAsiaTheme="minorHAnsi"/>
          <w:lang w:val="en-US"/>
        </w:rPr>
        <w:t xml:space="preserve"> </w:t>
      </w:r>
      <w:r w:rsidRPr="00054BC3">
        <w:rPr>
          <w:rFonts w:eastAsiaTheme="minorHAnsi"/>
          <w:lang w:val="en-US"/>
        </w:rPr>
        <w:t>Higher Education (Higher Education Ministry) in Denmark.</w:t>
      </w:r>
      <w:r w:rsidR="00B852BC">
        <w:rPr>
          <w:rFonts w:eastAsiaTheme="minorHAnsi"/>
          <w:lang w:val="en-US"/>
        </w:rPr>
        <w:t xml:space="preserve"> </w:t>
      </w:r>
      <w:r w:rsidRPr="00054BC3">
        <w:rPr>
          <w:rFonts w:eastAsiaTheme="minorHAnsi"/>
          <w:lang w:val="en-US"/>
        </w:rPr>
        <w:t>The</w:t>
      </w:r>
      <w:r w:rsidRPr="00035C49">
        <w:rPr>
          <w:rFonts w:eastAsiaTheme="minorHAnsi"/>
        </w:rPr>
        <w:t xml:space="preserve"> Compett</w:t>
      </w:r>
      <w:r w:rsidRPr="00054BC3">
        <w:rPr>
          <w:rFonts w:eastAsiaTheme="minorHAnsi"/>
          <w:lang w:val="en-US"/>
        </w:rPr>
        <w:t xml:space="preserve"> project </w:t>
      </w:r>
      <w:r>
        <w:rPr>
          <w:rFonts w:eastAsiaTheme="minorHAnsi"/>
          <w:lang w:val="en-US"/>
        </w:rPr>
        <w:t>was</w:t>
      </w:r>
      <w:r w:rsidRPr="00054BC3">
        <w:rPr>
          <w:rFonts w:eastAsiaTheme="minorHAnsi"/>
          <w:lang w:val="en-US"/>
        </w:rPr>
        <w:t xml:space="preserve"> a co-operation between The Institute of Transport</w:t>
      </w:r>
      <w:r>
        <w:rPr>
          <w:rFonts w:eastAsiaTheme="minorHAnsi"/>
          <w:lang w:val="en-US"/>
        </w:rPr>
        <w:t xml:space="preserve"> </w:t>
      </w:r>
      <w:r w:rsidRPr="00054BC3">
        <w:rPr>
          <w:rFonts w:eastAsiaTheme="minorHAnsi"/>
          <w:lang w:val="en-US"/>
        </w:rPr>
        <w:t>Economics in Norway, The Austrian Energy Agency, The University</w:t>
      </w:r>
      <w:r>
        <w:rPr>
          <w:rFonts w:eastAsiaTheme="minorHAnsi"/>
          <w:lang w:val="en-US"/>
        </w:rPr>
        <w:t xml:space="preserve"> </w:t>
      </w:r>
      <w:r w:rsidRPr="00054BC3">
        <w:rPr>
          <w:rFonts w:eastAsiaTheme="minorHAnsi"/>
          <w:lang w:val="en-US"/>
        </w:rPr>
        <w:t>College Buskerud in Norway, Kongsberg Innovation in Norway and the</w:t>
      </w:r>
      <w:r>
        <w:rPr>
          <w:rFonts w:eastAsiaTheme="minorHAnsi"/>
          <w:lang w:val="en-US"/>
        </w:rPr>
        <w:t xml:space="preserve"> </w:t>
      </w:r>
      <w:r w:rsidRPr="00054BC3">
        <w:rPr>
          <w:rFonts w:eastAsiaTheme="minorHAnsi"/>
          <w:lang w:val="en-US"/>
        </w:rPr>
        <w:t xml:space="preserve">Danish Road Directorate. </w:t>
      </w:r>
    </w:p>
    <w:p w14:paraId="3B1E0359" w14:textId="77777777" w:rsidR="00054BC3" w:rsidRDefault="00054BC3" w:rsidP="00054BC3">
      <w:pPr>
        <w:autoSpaceDE w:val="0"/>
        <w:autoSpaceDN w:val="0"/>
        <w:adjustRightInd w:val="0"/>
        <w:rPr>
          <w:rFonts w:ascii="VlnxjyAdvTT3713a231" w:eastAsiaTheme="minorHAnsi" w:hAnsi="VlnxjyAdvTT3713a231" w:cs="VlnxjyAdvTT3713a231"/>
          <w:color w:val="3A2A98"/>
          <w:sz w:val="17"/>
          <w:szCs w:val="17"/>
          <w:lang w:val="en-US"/>
        </w:rPr>
      </w:pPr>
    </w:p>
    <w:p w14:paraId="260E19B4" w14:textId="77777777" w:rsidR="00772E40" w:rsidRPr="002B52FC" w:rsidRDefault="00772E40" w:rsidP="00054BC3">
      <w:pPr>
        <w:pStyle w:val="Overskrift1"/>
        <w:numPr>
          <w:ilvl w:val="0"/>
          <w:numId w:val="0"/>
        </w:numPr>
        <w:rPr>
          <w:lang w:val="nb-NO"/>
        </w:rPr>
      </w:pPr>
      <w:r w:rsidRPr="002B52FC">
        <w:rPr>
          <w:lang w:val="nb-NO"/>
        </w:rPr>
        <w:t>Bibliography</w:t>
      </w:r>
    </w:p>
    <w:p w14:paraId="05FCC8B0" w14:textId="77777777" w:rsidR="00B23D40" w:rsidRPr="001342B1" w:rsidRDefault="00B23D40" w:rsidP="001342B1">
      <w:pPr>
        <w:spacing w:after="120"/>
        <w:rPr>
          <w:sz w:val="18"/>
          <w:szCs w:val="18"/>
          <w:lang w:val="nb-NO"/>
        </w:rPr>
      </w:pPr>
      <w:r w:rsidRPr="001342B1">
        <w:rPr>
          <w:sz w:val="18"/>
          <w:szCs w:val="18"/>
          <w:lang w:val="nb-NO"/>
        </w:rPr>
        <w:t>Asphjell, A., Asphjell, Ø. and Kvisle H. H. (2013). Elbil på norsk 2013. ISBN 978-82-7704-142-1. Trondheim, Transnova. (Norwegian language).</w:t>
      </w:r>
    </w:p>
    <w:p w14:paraId="4DABC78D" w14:textId="77777777" w:rsidR="00B23D40" w:rsidRPr="001342B1" w:rsidRDefault="00B23D40" w:rsidP="001342B1">
      <w:pPr>
        <w:spacing w:after="120"/>
        <w:rPr>
          <w:rStyle w:val="Svakutheving"/>
          <w:i w:val="0"/>
          <w:sz w:val="18"/>
          <w:szCs w:val="18"/>
          <w:lang w:val="en-US"/>
        </w:rPr>
      </w:pPr>
      <w:r w:rsidRPr="001342B1">
        <w:rPr>
          <w:rStyle w:val="Svakutheving"/>
          <w:i w:val="0"/>
          <w:sz w:val="18"/>
          <w:szCs w:val="18"/>
          <w:lang w:val="nb-NO"/>
        </w:rPr>
        <w:t xml:space="preserve">Assum, T., Kolbenstvedt, M. and Figenbaum, E. (2015). </w:t>
      </w:r>
      <w:r w:rsidRPr="001342B1">
        <w:rPr>
          <w:rStyle w:val="Svakutheving"/>
          <w:i w:val="0"/>
          <w:sz w:val="18"/>
          <w:szCs w:val="18"/>
        </w:rPr>
        <w:t xml:space="preserve">Potentials, barrieres and the future of elctromobility in Norway. </w:t>
      </w:r>
      <w:r w:rsidRPr="001342B1">
        <w:rPr>
          <w:rStyle w:val="Svakutheving"/>
          <w:i w:val="0"/>
          <w:sz w:val="18"/>
          <w:szCs w:val="18"/>
          <w:lang w:val="en-US"/>
        </w:rPr>
        <w:t xml:space="preserve">Stakeholders perspectives. </w:t>
      </w:r>
      <w:r w:rsidRPr="001342B1">
        <w:rPr>
          <w:color w:val="222222"/>
          <w:sz w:val="18"/>
          <w:szCs w:val="18"/>
        </w:rPr>
        <w:t>TØI report 1385/2014. Institute of Transport Economics 2014.</w:t>
      </w:r>
    </w:p>
    <w:p w14:paraId="0B9B7586" w14:textId="4B6DC23D" w:rsidR="00C2220F" w:rsidRPr="001342B1" w:rsidRDefault="00C2220F" w:rsidP="001342B1">
      <w:pPr>
        <w:spacing w:after="120"/>
        <w:rPr>
          <w:rStyle w:val="Svakutheving"/>
          <w:i w:val="0"/>
          <w:sz w:val="18"/>
          <w:szCs w:val="18"/>
          <w:lang w:val="en-US"/>
        </w:rPr>
      </w:pPr>
      <w:r w:rsidRPr="001342B1">
        <w:rPr>
          <w:rStyle w:val="Svakutheving"/>
          <w:i w:val="0"/>
          <w:sz w:val="18"/>
          <w:szCs w:val="18"/>
          <w:lang w:val="en-US"/>
        </w:rPr>
        <w:t>Bilnorge (2010)</w:t>
      </w:r>
      <w:r w:rsidR="00AB0C94" w:rsidRPr="001342B1">
        <w:rPr>
          <w:rStyle w:val="Svakutheving"/>
          <w:i w:val="0"/>
          <w:sz w:val="18"/>
          <w:szCs w:val="18"/>
          <w:lang w:val="en-US"/>
        </w:rPr>
        <w:t xml:space="preserve">. </w:t>
      </w:r>
      <w:r w:rsidR="00311687" w:rsidRPr="001342B1">
        <w:rPr>
          <w:rStyle w:val="Svakutheving"/>
          <w:i w:val="0"/>
          <w:sz w:val="18"/>
          <w:szCs w:val="18"/>
          <w:lang w:val="en-US"/>
        </w:rPr>
        <w:t>Better climate with engine block heater (in Norwegian). News article 07.12.2010. Bilnorge.no</w:t>
      </w:r>
    </w:p>
    <w:p w14:paraId="65F84003" w14:textId="77777777" w:rsidR="00B23D40" w:rsidRPr="001342B1" w:rsidRDefault="00B23D40" w:rsidP="001342B1">
      <w:pPr>
        <w:spacing w:after="120"/>
        <w:rPr>
          <w:rStyle w:val="Svakutheving"/>
          <w:i w:val="0"/>
          <w:sz w:val="18"/>
          <w:szCs w:val="18"/>
          <w:lang w:val="en-US"/>
        </w:rPr>
      </w:pPr>
      <w:r w:rsidRPr="001342B1">
        <w:rPr>
          <w:rStyle w:val="Svakutheving"/>
          <w:i w:val="0"/>
          <w:sz w:val="18"/>
          <w:szCs w:val="18"/>
          <w:lang w:val="en-US"/>
        </w:rPr>
        <w:t xml:space="preserve">Bilpriser/Car prices (1998-2014). </w:t>
      </w:r>
      <w:r w:rsidRPr="001342B1">
        <w:rPr>
          <w:sz w:val="18"/>
          <w:szCs w:val="18"/>
        </w:rPr>
        <w:t xml:space="preserve">Partly from “Bilpriser” a yearly list of vehicle prices published by OFVAS and made available by the tax collectors office. Authors collection of </w:t>
      </w:r>
      <w:r w:rsidR="00E57514" w:rsidRPr="001342B1">
        <w:rPr>
          <w:sz w:val="18"/>
          <w:szCs w:val="18"/>
        </w:rPr>
        <w:t>BEV</w:t>
      </w:r>
      <w:r w:rsidRPr="001342B1">
        <w:rPr>
          <w:sz w:val="18"/>
          <w:szCs w:val="18"/>
        </w:rPr>
        <w:t xml:space="preserve"> market prices partly from old media articles, partly from importers price lists. Consumer price indexed to 2013 prices. </w:t>
      </w:r>
    </w:p>
    <w:p w14:paraId="7FBCA4FA" w14:textId="77777777" w:rsidR="00B23D40" w:rsidRPr="001342B1" w:rsidRDefault="00B23D40" w:rsidP="001342B1">
      <w:pPr>
        <w:spacing w:after="120"/>
        <w:rPr>
          <w:rStyle w:val="Svakutheving"/>
          <w:i w:val="0"/>
          <w:sz w:val="18"/>
          <w:szCs w:val="18"/>
          <w:lang w:val="en-US"/>
        </w:rPr>
      </w:pPr>
      <w:r w:rsidRPr="001342B1">
        <w:rPr>
          <w:rStyle w:val="Svakutheving"/>
          <w:i w:val="0"/>
          <w:sz w:val="18"/>
          <w:szCs w:val="18"/>
          <w:lang w:val="en-US"/>
        </w:rPr>
        <w:t>Climate Policy Settlement (2012). Innst. 390 S (2011-2012) To the Norwegian parliament from the Energy- and environment committee.</w:t>
      </w:r>
    </w:p>
    <w:p w14:paraId="6D5199F6" w14:textId="431B656E" w:rsidR="00D83599" w:rsidRPr="00D83599" w:rsidRDefault="00D83599" w:rsidP="001342B1">
      <w:pPr>
        <w:spacing w:after="120"/>
        <w:rPr>
          <w:sz w:val="18"/>
          <w:szCs w:val="18"/>
          <w:lang w:val="en-US"/>
        </w:rPr>
      </w:pPr>
      <w:r w:rsidRPr="00D83599">
        <w:rPr>
          <w:sz w:val="18"/>
          <w:szCs w:val="18"/>
          <w:lang w:val="nb-NO"/>
        </w:rPr>
        <w:t xml:space="preserve">Elbil 2016. Dette koster hurtiglading (in Norwegian). </w:t>
      </w:r>
      <w:hyperlink r:id="rId24" w:history="1">
        <w:r w:rsidRPr="00D83599">
          <w:rPr>
            <w:rStyle w:val="Hyperkobling"/>
            <w:sz w:val="18"/>
            <w:szCs w:val="18"/>
            <w:lang w:val="en-US"/>
          </w:rPr>
          <w:t>http://elbil.no/dette-koster-hurtiglading/</w:t>
        </w:r>
      </w:hyperlink>
      <w:r w:rsidRPr="00D83599">
        <w:rPr>
          <w:sz w:val="18"/>
          <w:szCs w:val="18"/>
          <w:lang w:val="en-US"/>
        </w:rPr>
        <w:t xml:space="preserve">. Newsarticle on the website of the </w:t>
      </w:r>
      <w:r>
        <w:rPr>
          <w:sz w:val="18"/>
          <w:szCs w:val="18"/>
          <w:lang w:val="en-US"/>
        </w:rPr>
        <w:t xml:space="preserve">Norwegian </w:t>
      </w:r>
      <w:r w:rsidRPr="00D83599">
        <w:rPr>
          <w:sz w:val="18"/>
          <w:szCs w:val="18"/>
          <w:lang w:val="en-US"/>
        </w:rPr>
        <w:t>EV Association.</w:t>
      </w:r>
      <w:r>
        <w:rPr>
          <w:sz w:val="18"/>
          <w:szCs w:val="18"/>
          <w:lang w:val="en-US"/>
        </w:rPr>
        <w:t xml:space="preserve"> </w:t>
      </w:r>
      <w:r w:rsidRPr="00D83599">
        <w:rPr>
          <w:sz w:val="18"/>
          <w:szCs w:val="18"/>
          <w:lang w:val="en-US"/>
        </w:rPr>
        <w:t xml:space="preserve"> </w:t>
      </w:r>
    </w:p>
    <w:p w14:paraId="16AA03B5" w14:textId="62DDAD63" w:rsidR="000B410C" w:rsidRPr="001342B1" w:rsidRDefault="000B410C" w:rsidP="001342B1">
      <w:pPr>
        <w:spacing w:after="120"/>
        <w:rPr>
          <w:sz w:val="18"/>
          <w:szCs w:val="18"/>
          <w:lang w:val="en-US"/>
        </w:rPr>
      </w:pPr>
      <w:r w:rsidRPr="00D83599">
        <w:rPr>
          <w:sz w:val="18"/>
          <w:szCs w:val="18"/>
          <w:lang w:val="en-US"/>
        </w:rPr>
        <w:t xml:space="preserve">EU ETS (2015). The EU Emissions Trading System (EU ETS). </w:t>
      </w:r>
      <w:hyperlink r:id="rId25" w:history="1">
        <w:r w:rsidRPr="001342B1">
          <w:rPr>
            <w:rStyle w:val="Hyperkobling"/>
            <w:rFonts w:eastAsiaTheme="majorEastAsia"/>
            <w:sz w:val="18"/>
            <w:szCs w:val="18"/>
            <w:lang w:val="en-US"/>
          </w:rPr>
          <w:t>http://ec.europa.eu/clima/publications/docs/factsheet_ets_en.pdf</w:t>
        </w:r>
      </w:hyperlink>
      <w:r w:rsidRPr="001342B1">
        <w:rPr>
          <w:sz w:val="18"/>
          <w:szCs w:val="18"/>
          <w:lang w:val="en-US"/>
        </w:rPr>
        <w:t xml:space="preserve"> </w:t>
      </w:r>
    </w:p>
    <w:p w14:paraId="03120EA0" w14:textId="3F799E39" w:rsidR="00B23D40" w:rsidRPr="001342B1" w:rsidRDefault="00B23D40" w:rsidP="001342B1">
      <w:pPr>
        <w:spacing w:after="120"/>
        <w:rPr>
          <w:sz w:val="18"/>
          <w:szCs w:val="18"/>
        </w:rPr>
      </w:pPr>
      <w:r w:rsidRPr="001342B1">
        <w:rPr>
          <w:sz w:val="18"/>
          <w:szCs w:val="18"/>
        </w:rPr>
        <w:t>EuroNcap (2014). Crash test data for EVs and ICE vehicles retrieved from www.euroncap.com.</w:t>
      </w:r>
    </w:p>
    <w:p w14:paraId="68ABAD57" w14:textId="77777777" w:rsidR="00B23D40" w:rsidRPr="001342B1" w:rsidRDefault="00B23D40" w:rsidP="001342B1">
      <w:pPr>
        <w:spacing w:after="120"/>
        <w:rPr>
          <w:rStyle w:val="Svakutheving"/>
          <w:i w:val="0"/>
          <w:sz w:val="18"/>
          <w:szCs w:val="18"/>
          <w:lang w:val="nb-NO"/>
        </w:rPr>
      </w:pPr>
      <w:r w:rsidRPr="001342B1">
        <w:rPr>
          <w:rStyle w:val="Svakutheving"/>
          <w:i w:val="0"/>
          <w:sz w:val="18"/>
          <w:szCs w:val="18"/>
        </w:rPr>
        <w:t xml:space="preserve">Figenbaum, E., Kolbenstvedt, M. (2013). Electromobility in Norway - experiences and opportunities with electric vehicles. </w:t>
      </w:r>
      <w:r w:rsidRPr="001342B1">
        <w:rPr>
          <w:rStyle w:val="Svakutheving"/>
          <w:i w:val="0"/>
          <w:sz w:val="18"/>
          <w:szCs w:val="18"/>
          <w:lang w:val="nb-NO"/>
        </w:rPr>
        <w:t>TØI report 1281/2013, Oslo, Transportøkonomisk institutt.</w:t>
      </w:r>
    </w:p>
    <w:p w14:paraId="1D25E2CF" w14:textId="1BEE4E99" w:rsidR="00487E87" w:rsidRPr="00D264A7" w:rsidRDefault="00487E87" w:rsidP="001342B1">
      <w:pPr>
        <w:spacing w:after="120"/>
        <w:rPr>
          <w:rStyle w:val="Svakutheving"/>
          <w:i w:val="0"/>
          <w:sz w:val="18"/>
          <w:szCs w:val="18"/>
          <w:lang w:val="en-US"/>
        </w:rPr>
      </w:pPr>
      <w:r w:rsidRPr="00D264A7">
        <w:rPr>
          <w:rStyle w:val="Svakutheving"/>
          <w:i w:val="0"/>
          <w:sz w:val="18"/>
          <w:szCs w:val="18"/>
          <w:lang w:val="nb-NO"/>
        </w:rPr>
        <w:t xml:space="preserve">Figenbaum, E. (2016). </w:t>
      </w:r>
      <w:r w:rsidR="000E0344" w:rsidRPr="00D264A7">
        <w:rPr>
          <w:rStyle w:val="Svakutheving"/>
          <w:i w:val="0"/>
          <w:sz w:val="18"/>
          <w:szCs w:val="18"/>
          <w:lang w:val="en-US"/>
        </w:rPr>
        <w:t xml:space="preserve">Perspectives on Norway’s supercharged electric vehicle policy. Article under review, submitted to Environmental Innovation and Societal Transitions. </w:t>
      </w:r>
    </w:p>
    <w:p w14:paraId="517AF0DF" w14:textId="49B0F1DB" w:rsidR="00487E87" w:rsidRPr="001342B1" w:rsidRDefault="00487E87" w:rsidP="001342B1">
      <w:pPr>
        <w:spacing w:after="120"/>
        <w:rPr>
          <w:rStyle w:val="Svakutheving"/>
          <w:i w:val="0"/>
          <w:sz w:val="18"/>
          <w:szCs w:val="18"/>
          <w:lang w:val="en-US"/>
        </w:rPr>
      </w:pPr>
      <w:r w:rsidRPr="001342B1">
        <w:rPr>
          <w:rStyle w:val="Svakutheving"/>
          <w:i w:val="0"/>
          <w:sz w:val="18"/>
          <w:szCs w:val="18"/>
          <w:lang w:val="nb-NO"/>
        </w:rPr>
        <w:t>Figenbaum, E., Kolbenstvedt, M. (2016).</w:t>
      </w:r>
      <w:r w:rsidRPr="001342B1">
        <w:rPr>
          <w:sz w:val="18"/>
          <w:szCs w:val="18"/>
          <w:lang w:val="nb-NO"/>
        </w:rPr>
        <w:t xml:space="preserve"> </w:t>
      </w:r>
      <w:r w:rsidR="001F0284" w:rsidRPr="001342B1">
        <w:rPr>
          <w:sz w:val="18"/>
          <w:szCs w:val="18"/>
          <w:lang w:val="en-US"/>
        </w:rPr>
        <w:t xml:space="preserve">Learning from Norwegian Battery Electric and Plug-in Hybrid Vehicle users. Results from a survey of vehicle owners. </w:t>
      </w:r>
      <w:r w:rsidRPr="001342B1">
        <w:rPr>
          <w:sz w:val="18"/>
          <w:szCs w:val="18"/>
          <w:lang w:val="en-US"/>
        </w:rPr>
        <w:t xml:space="preserve">TØI report </w:t>
      </w:r>
      <w:r w:rsidR="001F0284" w:rsidRPr="001342B1">
        <w:rPr>
          <w:sz w:val="18"/>
          <w:szCs w:val="18"/>
          <w:lang w:val="en-US"/>
        </w:rPr>
        <w:t>1492</w:t>
      </w:r>
      <w:r w:rsidRPr="001342B1">
        <w:rPr>
          <w:sz w:val="18"/>
          <w:szCs w:val="18"/>
          <w:lang w:val="en-US"/>
        </w:rPr>
        <w:t>/2016</w:t>
      </w:r>
      <w:r w:rsidR="001F0284" w:rsidRPr="001342B1">
        <w:rPr>
          <w:sz w:val="18"/>
          <w:szCs w:val="18"/>
          <w:lang w:val="en-US"/>
        </w:rPr>
        <w:t>. Institute of Transport Economics.</w:t>
      </w:r>
    </w:p>
    <w:p w14:paraId="74777466" w14:textId="187EC3BB" w:rsidR="00B23D40" w:rsidRPr="001342B1" w:rsidRDefault="00B23D40" w:rsidP="001342B1">
      <w:pPr>
        <w:spacing w:after="120"/>
        <w:rPr>
          <w:sz w:val="18"/>
          <w:szCs w:val="18"/>
        </w:rPr>
      </w:pPr>
      <w:r w:rsidRPr="001342B1">
        <w:rPr>
          <w:sz w:val="18"/>
          <w:szCs w:val="18"/>
          <w:lang w:val="en-US"/>
        </w:rPr>
        <w:t xml:space="preserve">Figenbaum, E. Kolbenstvedt, M., Elvebakk, B. (2014). </w:t>
      </w:r>
      <w:r w:rsidRPr="001342B1">
        <w:rPr>
          <w:sz w:val="18"/>
          <w:szCs w:val="18"/>
        </w:rPr>
        <w:t xml:space="preserve">Electric vehicles – environmental, economic and practical aspects. As seen by current and potential users. Compett and TØI report 1329/2014. Institute of Transport Economics. </w:t>
      </w:r>
    </w:p>
    <w:p w14:paraId="5C8636B9" w14:textId="767969DC" w:rsidR="002F42AE" w:rsidRPr="001342B1" w:rsidRDefault="002F42AE" w:rsidP="001342B1">
      <w:pPr>
        <w:spacing w:after="120"/>
        <w:rPr>
          <w:rStyle w:val="Svakutheving"/>
          <w:rFonts w:eastAsiaTheme="majorEastAsia"/>
          <w:i w:val="0"/>
          <w:sz w:val="18"/>
          <w:szCs w:val="18"/>
          <w:lang w:val="en-US"/>
        </w:rPr>
      </w:pPr>
      <w:r w:rsidRPr="001342B1">
        <w:rPr>
          <w:sz w:val="18"/>
          <w:szCs w:val="18"/>
          <w:lang w:val="nb-NO"/>
        </w:rPr>
        <w:lastRenderedPageBreak/>
        <w:t xml:space="preserve">Figenbaum, E., Kolbenstvedt, M. (2015a). </w:t>
      </w:r>
      <w:r w:rsidRPr="001342B1">
        <w:rPr>
          <w:sz w:val="18"/>
          <w:szCs w:val="18"/>
          <w:lang w:val="en-US"/>
        </w:rPr>
        <w:t xml:space="preserve">Pathways to electromobility - </w:t>
      </w:r>
      <w:r w:rsidRPr="001342B1">
        <w:rPr>
          <w:sz w:val="18"/>
          <w:szCs w:val="18"/>
        </w:rPr>
        <w:t>perspectives based on Norwegian experiences. TØI, Report 1420/2015.</w:t>
      </w:r>
      <w:r w:rsidR="001F0284" w:rsidRPr="001342B1">
        <w:rPr>
          <w:sz w:val="18"/>
          <w:szCs w:val="18"/>
          <w:lang w:val="en-US"/>
        </w:rPr>
        <w:t xml:space="preserve"> Institute of Transport Economics.</w:t>
      </w:r>
    </w:p>
    <w:p w14:paraId="6395A9E2" w14:textId="1CFE56B5" w:rsidR="002F42AE" w:rsidRPr="001342B1" w:rsidRDefault="002F42AE" w:rsidP="001342B1">
      <w:pPr>
        <w:spacing w:after="120"/>
        <w:rPr>
          <w:sz w:val="18"/>
          <w:szCs w:val="18"/>
          <w:lang w:val="en-US"/>
        </w:rPr>
      </w:pPr>
      <w:r w:rsidRPr="001342B1">
        <w:rPr>
          <w:sz w:val="18"/>
          <w:szCs w:val="18"/>
          <w:lang w:val="nb-NO"/>
        </w:rPr>
        <w:t xml:space="preserve">Figenbaum, E., Kolbenstvedt, M. (2015b). </w:t>
      </w:r>
      <w:r w:rsidRPr="001342B1">
        <w:rPr>
          <w:sz w:val="18"/>
          <w:szCs w:val="18"/>
        </w:rPr>
        <w:t>Competitive Electric Town Transport. Main results from COMPETT – an Electromobility+ project. TØI report 1422/2015.</w:t>
      </w:r>
      <w:r w:rsidR="001F0284" w:rsidRPr="001342B1">
        <w:rPr>
          <w:sz w:val="18"/>
          <w:szCs w:val="18"/>
        </w:rPr>
        <w:t xml:space="preserve"> Institute of Transport Economics</w:t>
      </w:r>
    </w:p>
    <w:p w14:paraId="4B512F11" w14:textId="77777777" w:rsidR="002F42AE" w:rsidRPr="001342B1" w:rsidRDefault="002F42AE" w:rsidP="001342B1">
      <w:pPr>
        <w:spacing w:after="120"/>
        <w:rPr>
          <w:rStyle w:val="Hyperkobling"/>
          <w:rFonts w:eastAsiaTheme="majorEastAsia"/>
          <w:sz w:val="18"/>
          <w:szCs w:val="18"/>
        </w:rPr>
      </w:pPr>
      <w:r w:rsidRPr="001342B1">
        <w:rPr>
          <w:sz w:val="18"/>
          <w:szCs w:val="18"/>
          <w:lang w:val="de-DE"/>
        </w:rPr>
        <w:t xml:space="preserve">Figenbaum, E., Assum, T., Kolbenstvedt, M. (2015). </w:t>
      </w:r>
      <w:r w:rsidRPr="001342B1">
        <w:rPr>
          <w:sz w:val="18"/>
          <w:szCs w:val="18"/>
        </w:rPr>
        <w:t xml:space="preserve">Electromobility in Norway – experiences and opportunities. Research in Transportation Economics in 2015. </w:t>
      </w:r>
      <w:hyperlink r:id="rId26" w:tooltip="Go to table of contents for this volume/issue" w:history="1">
        <w:r w:rsidRPr="001342B1">
          <w:rPr>
            <w:sz w:val="18"/>
            <w:szCs w:val="18"/>
          </w:rPr>
          <w:t>Volume 50</w:t>
        </w:r>
      </w:hyperlink>
      <w:r w:rsidRPr="001342B1">
        <w:rPr>
          <w:sz w:val="18"/>
          <w:szCs w:val="18"/>
        </w:rPr>
        <w:t xml:space="preserve">, August 2015, Pages 29–38. </w:t>
      </w:r>
      <w:hyperlink r:id="rId27" w:tgtFrame="doilink" w:history="1">
        <w:r w:rsidRPr="001342B1">
          <w:rPr>
            <w:rStyle w:val="Hyperkobling"/>
            <w:rFonts w:eastAsiaTheme="majorEastAsia"/>
            <w:sz w:val="18"/>
            <w:szCs w:val="18"/>
          </w:rPr>
          <w:t>doi:10.1016/j.retrec.2015.06.004</w:t>
        </w:r>
      </w:hyperlink>
    </w:p>
    <w:p w14:paraId="04878D06" w14:textId="77777777" w:rsidR="002F42AE" w:rsidRPr="001342B1" w:rsidRDefault="002F42AE" w:rsidP="001342B1">
      <w:pPr>
        <w:spacing w:after="120"/>
        <w:rPr>
          <w:sz w:val="18"/>
          <w:szCs w:val="18"/>
          <w:lang w:val="nb-NO"/>
        </w:rPr>
      </w:pPr>
      <w:r w:rsidRPr="001342B1">
        <w:rPr>
          <w:sz w:val="18"/>
          <w:szCs w:val="18"/>
        </w:rPr>
        <w:t xml:space="preserve">Figenbaum, E., Fearnley, N., Pfaffenbichler, P., Hjorthol, R., Kolbenstvedt, M. Emmerling, B., Jellinek, F., Bonnema, G. M., Ramjerdi, F., Møller Iversen, L. (2015a). Increasing competitiveness of e-vehicles in Europe. </w:t>
      </w:r>
      <w:hyperlink r:id="rId28" w:history="1">
        <w:r w:rsidRPr="001342B1">
          <w:rPr>
            <w:sz w:val="18"/>
            <w:szCs w:val="18"/>
          </w:rPr>
          <w:t>European Transport Research Review</w:t>
        </w:r>
      </w:hyperlink>
      <w:r w:rsidRPr="001342B1">
        <w:rPr>
          <w:sz w:val="18"/>
          <w:szCs w:val="18"/>
          <w:lang w:val="en"/>
        </w:rPr>
        <w:t xml:space="preserve"> </w:t>
      </w:r>
      <w:r w:rsidRPr="001342B1">
        <w:rPr>
          <w:rStyle w:val="articlecitationyear"/>
          <w:sz w:val="18"/>
          <w:szCs w:val="18"/>
          <w:lang w:val="en"/>
        </w:rPr>
        <w:t xml:space="preserve">September 2015, </w:t>
      </w:r>
      <w:r w:rsidRPr="001342B1">
        <w:rPr>
          <w:rStyle w:val="articlecitationvolume"/>
          <w:sz w:val="18"/>
          <w:szCs w:val="18"/>
          <w:lang w:val="en"/>
        </w:rPr>
        <w:t>7:28.</w:t>
      </w:r>
      <w:r w:rsidRPr="001342B1">
        <w:rPr>
          <w:color w:val="131413"/>
          <w:sz w:val="18"/>
          <w:szCs w:val="18"/>
        </w:rPr>
        <w:t xml:space="preserve"> </w:t>
      </w:r>
      <w:hyperlink r:id="rId29" w:history="1">
        <w:r w:rsidRPr="001342B1">
          <w:rPr>
            <w:rStyle w:val="Hyperkobling"/>
            <w:rFonts w:eastAsiaTheme="majorEastAsia"/>
            <w:sz w:val="18"/>
            <w:szCs w:val="18"/>
            <w:lang w:val="nb-NO"/>
          </w:rPr>
          <w:t>http://link.springer.com/article/10.1007%2Fs12544-015-0177-1#</w:t>
        </w:r>
      </w:hyperlink>
    </w:p>
    <w:p w14:paraId="34470904" w14:textId="77777777" w:rsidR="00710D3F" w:rsidRPr="001342B1" w:rsidRDefault="00710D3F" w:rsidP="001342B1">
      <w:pPr>
        <w:spacing w:after="120"/>
        <w:rPr>
          <w:sz w:val="18"/>
          <w:szCs w:val="18"/>
        </w:rPr>
      </w:pPr>
      <w:r w:rsidRPr="001342B1">
        <w:rPr>
          <w:sz w:val="18"/>
          <w:szCs w:val="18"/>
        </w:rPr>
        <w:t xml:space="preserve">Fjellinjen (2016). Percentage of EV passages through the tollgates of Oslo. Data from the tolling company Fjellinjen, presented in </w:t>
      </w:r>
      <w:hyperlink r:id="rId30" w:history="1">
        <w:r w:rsidRPr="001342B1">
          <w:rPr>
            <w:rStyle w:val="Hyperkobling"/>
            <w:rFonts w:eastAsiaTheme="majorEastAsia"/>
            <w:sz w:val="18"/>
            <w:szCs w:val="18"/>
          </w:rPr>
          <w:t>www.hegnar.no</w:t>
        </w:r>
      </w:hyperlink>
      <w:r w:rsidRPr="001342B1">
        <w:rPr>
          <w:sz w:val="18"/>
          <w:szCs w:val="18"/>
        </w:rPr>
        <w:t xml:space="preserve">. </w:t>
      </w:r>
      <w:hyperlink r:id="rId31" w:history="1">
        <w:r w:rsidRPr="001342B1">
          <w:rPr>
            <w:rStyle w:val="Hyperkobling"/>
            <w:rFonts w:eastAsiaTheme="majorEastAsia"/>
            <w:sz w:val="18"/>
            <w:szCs w:val="18"/>
          </w:rPr>
          <w:t>http://www.hegnar.no/Nyheter/Naeringsliv/2016/01/3-ganger-saa-mange-elbiler-koster-146-millioner-kroner</w:t>
        </w:r>
      </w:hyperlink>
      <w:r w:rsidRPr="001342B1">
        <w:rPr>
          <w:sz w:val="18"/>
          <w:szCs w:val="18"/>
        </w:rPr>
        <w:t xml:space="preserve"> . </w:t>
      </w:r>
    </w:p>
    <w:p w14:paraId="7D89A962" w14:textId="77777777" w:rsidR="00B23D40" w:rsidRPr="001342B1" w:rsidRDefault="00B23D40" w:rsidP="001342B1">
      <w:pPr>
        <w:spacing w:after="120"/>
        <w:rPr>
          <w:sz w:val="18"/>
          <w:szCs w:val="18"/>
        </w:rPr>
      </w:pPr>
      <w:r w:rsidRPr="001342B1">
        <w:rPr>
          <w:sz w:val="18"/>
          <w:szCs w:val="18"/>
        </w:rPr>
        <w:t>Geels, F. W. (2012). A socio-Technical analysis of low-carbon transitions: Introducing the multi-level perspective into transport studies, Journal of Transport Geography24 (2012) 471-482</w:t>
      </w:r>
    </w:p>
    <w:p w14:paraId="2534109C" w14:textId="77777777" w:rsidR="00B23D40" w:rsidRPr="001342B1" w:rsidRDefault="00B23D40" w:rsidP="001342B1">
      <w:pPr>
        <w:spacing w:after="120"/>
        <w:rPr>
          <w:sz w:val="18"/>
          <w:szCs w:val="18"/>
        </w:rPr>
      </w:pPr>
      <w:r w:rsidRPr="001342B1">
        <w:rPr>
          <w:sz w:val="18"/>
          <w:szCs w:val="18"/>
        </w:rPr>
        <w:t xml:space="preserve">Gronnbil (2015). </w:t>
      </w:r>
      <w:r w:rsidR="00E57514" w:rsidRPr="001342B1">
        <w:rPr>
          <w:sz w:val="18"/>
          <w:szCs w:val="18"/>
        </w:rPr>
        <w:t>BEV</w:t>
      </w:r>
      <w:r w:rsidRPr="001342B1">
        <w:rPr>
          <w:sz w:val="18"/>
          <w:szCs w:val="18"/>
        </w:rPr>
        <w:t xml:space="preserve"> related statistics from the webpage </w:t>
      </w:r>
      <w:hyperlink r:id="rId32" w:history="1">
        <w:r w:rsidRPr="001342B1">
          <w:rPr>
            <w:rStyle w:val="Hyperkobling"/>
            <w:sz w:val="18"/>
            <w:szCs w:val="18"/>
          </w:rPr>
          <w:t>www.gronnbil.no</w:t>
        </w:r>
      </w:hyperlink>
      <w:r w:rsidRPr="001342B1">
        <w:rPr>
          <w:sz w:val="18"/>
          <w:szCs w:val="18"/>
        </w:rPr>
        <w:t>.</w:t>
      </w:r>
    </w:p>
    <w:p w14:paraId="596DFBD3" w14:textId="77777777" w:rsidR="00B23D40" w:rsidRPr="001342B1" w:rsidRDefault="00B23D40" w:rsidP="001342B1">
      <w:pPr>
        <w:spacing w:after="120"/>
        <w:rPr>
          <w:rStyle w:val="Svakutheving"/>
          <w:i w:val="0"/>
          <w:sz w:val="18"/>
          <w:szCs w:val="18"/>
        </w:rPr>
      </w:pPr>
      <w:r w:rsidRPr="001342B1">
        <w:rPr>
          <w:rFonts w:eastAsia="TT16Ft00"/>
          <w:sz w:val="18"/>
          <w:szCs w:val="18"/>
        </w:rPr>
        <w:t xml:space="preserve">Haakana et. al. (2013). </w:t>
      </w:r>
      <w:r w:rsidRPr="001342B1">
        <w:rPr>
          <w:sz w:val="18"/>
          <w:szCs w:val="18"/>
        </w:rPr>
        <w:t xml:space="preserve">Assessing range and performance of electric vehicles in Nordic driving conditions –Project Final Report. </w:t>
      </w:r>
      <w:r w:rsidRPr="001342B1">
        <w:rPr>
          <w:rStyle w:val="Svakutheving"/>
          <w:i w:val="0"/>
          <w:sz w:val="18"/>
          <w:szCs w:val="18"/>
          <w:lang w:val="en-US"/>
        </w:rPr>
        <w:t>Report to Nordisk energiforskning December 2013.</w:t>
      </w:r>
    </w:p>
    <w:p w14:paraId="6B62AE9B" w14:textId="77777777" w:rsidR="00B23D40" w:rsidRPr="001342B1" w:rsidRDefault="00B23D40" w:rsidP="001342B1">
      <w:pPr>
        <w:spacing w:after="120"/>
        <w:rPr>
          <w:rStyle w:val="Svakutheving"/>
          <w:i w:val="0"/>
          <w:sz w:val="18"/>
          <w:szCs w:val="18"/>
          <w:lang w:val="en-US"/>
        </w:rPr>
      </w:pPr>
      <w:r w:rsidRPr="001342B1">
        <w:rPr>
          <w:rStyle w:val="Svakutheving"/>
          <w:i w:val="0"/>
          <w:sz w:val="18"/>
          <w:szCs w:val="18"/>
          <w:lang w:val="en-US"/>
        </w:rPr>
        <w:t>Hjorthol, R. (2013). Attitudes, ownership and use of Electric Vehicles - a review of literature. TØI Report 1261/2013. COMPETT, Work Package 2 Report. Transportøkonomisk institutt, Austrian Energy Agency, Vejdirektoratet Denmark.</w:t>
      </w:r>
    </w:p>
    <w:p w14:paraId="43D17229" w14:textId="77777777" w:rsidR="00B23D40" w:rsidRPr="001342B1" w:rsidRDefault="00B23D40" w:rsidP="001342B1">
      <w:pPr>
        <w:spacing w:after="120"/>
        <w:rPr>
          <w:rStyle w:val="Svakutheving"/>
          <w:i w:val="0"/>
          <w:sz w:val="18"/>
          <w:szCs w:val="18"/>
          <w:lang w:val="en-US"/>
        </w:rPr>
      </w:pPr>
      <w:r w:rsidRPr="001342B1">
        <w:rPr>
          <w:rStyle w:val="Svakutheving"/>
          <w:i w:val="0"/>
          <w:sz w:val="18"/>
          <w:szCs w:val="18"/>
        </w:rPr>
        <w:t xml:space="preserve">Hjorthol, R., Vågane, l., Foller, J. and Emmerling, B. (2014). </w:t>
      </w:r>
      <w:r w:rsidRPr="001342B1">
        <w:rPr>
          <w:rStyle w:val="Svakutheving"/>
          <w:i w:val="0"/>
          <w:sz w:val="18"/>
          <w:szCs w:val="18"/>
          <w:lang w:val="en-US"/>
        </w:rPr>
        <w:t>Everyday mobility and potential use of Electric Vehicles. TØI Report 1352/2014. COMPETT Work Package 2 Report. Transportøkonomisk institutt, Austrian Energy Agency, Vejdirektoratet Denmark.</w:t>
      </w:r>
    </w:p>
    <w:p w14:paraId="30239432" w14:textId="64775937" w:rsidR="00B23D40" w:rsidRPr="001342B1" w:rsidRDefault="00B23D40" w:rsidP="001342B1">
      <w:pPr>
        <w:spacing w:after="120"/>
        <w:rPr>
          <w:sz w:val="18"/>
          <w:szCs w:val="18"/>
          <w:lang w:val="nb-NO"/>
        </w:rPr>
      </w:pPr>
      <w:r w:rsidRPr="001342B1">
        <w:rPr>
          <w:sz w:val="18"/>
          <w:szCs w:val="18"/>
          <w:lang w:val="nb-NO"/>
        </w:rPr>
        <w:t>Høye, A., Figenbaum, E. (2015</w:t>
      </w:r>
      <w:r w:rsidR="001342B1" w:rsidRPr="001342B1">
        <w:rPr>
          <w:sz w:val="18"/>
          <w:szCs w:val="18"/>
          <w:lang w:val="nb-NO"/>
        </w:rPr>
        <w:t>)</w:t>
      </w:r>
      <w:r w:rsidRPr="001342B1">
        <w:rPr>
          <w:sz w:val="18"/>
          <w:szCs w:val="18"/>
          <w:lang w:val="nb-NO"/>
        </w:rPr>
        <w:t>. Elbiler. Kapittel 4.35, I: Trafikksikkerhetshåndboken. Redaktør: Høye, A et al. TØI, Oslo.</w:t>
      </w:r>
    </w:p>
    <w:p w14:paraId="7055E997" w14:textId="77777777" w:rsidR="00B23D40" w:rsidRPr="001342B1" w:rsidRDefault="00B23D40" w:rsidP="001342B1">
      <w:pPr>
        <w:spacing w:after="120"/>
        <w:rPr>
          <w:sz w:val="18"/>
          <w:szCs w:val="18"/>
        </w:rPr>
      </w:pPr>
      <w:r w:rsidRPr="001342B1">
        <w:rPr>
          <w:sz w:val="18"/>
          <w:szCs w:val="18"/>
        </w:rPr>
        <w:t xml:space="preserve">Jacobsen, S., Bergek, A. (2011). </w:t>
      </w:r>
      <w:r w:rsidRPr="001342B1">
        <w:rPr>
          <w:sz w:val="18"/>
          <w:szCs w:val="18"/>
          <w:lang w:val="en-US"/>
        </w:rPr>
        <w:t xml:space="preserve">Innovation system analysis and sustainability transitions: Contributions and suggestions for research. </w:t>
      </w:r>
      <w:r w:rsidRPr="001342B1">
        <w:rPr>
          <w:iCs/>
          <w:sz w:val="18"/>
          <w:szCs w:val="18"/>
        </w:rPr>
        <w:t xml:space="preserve">Environmental Innovation and Societal Transitions, </w:t>
      </w:r>
      <w:r w:rsidRPr="001342B1">
        <w:rPr>
          <w:sz w:val="18"/>
          <w:szCs w:val="18"/>
        </w:rPr>
        <w:t>1(1) pp 41-57</w:t>
      </w:r>
    </w:p>
    <w:p w14:paraId="2AEF3B6B" w14:textId="77777777" w:rsidR="00B23D40" w:rsidRPr="001342B1" w:rsidRDefault="00B23D40" w:rsidP="001342B1">
      <w:pPr>
        <w:spacing w:after="120"/>
        <w:rPr>
          <w:rStyle w:val="Svakutheving"/>
          <w:i w:val="0"/>
          <w:sz w:val="18"/>
          <w:szCs w:val="18"/>
          <w:lang w:val="en-US"/>
        </w:rPr>
      </w:pPr>
      <w:r w:rsidRPr="001342B1">
        <w:rPr>
          <w:rStyle w:val="Svakutheving"/>
          <w:i w:val="0"/>
          <w:sz w:val="18"/>
          <w:szCs w:val="18"/>
          <w:lang w:val="en-US"/>
        </w:rPr>
        <w:t>Mitsubishi (2010). Brochures and webpage information about the I-Miev since 2010.</w:t>
      </w:r>
    </w:p>
    <w:p w14:paraId="36C75190" w14:textId="77777777" w:rsidR="00B23D40" w:rsidRPr="001342B1" w:rsidRDefault="00B23D40" w:rsidP="001342B1">
      <w:pPr>
        <w:spacing w:after="120"/>
        <w:rPr>
          <w:rStyle w:val="Svakutheving"/>
          <w:i w:val="0"/>
          <w:sz w:val="18"/>
          <w:szCs w:val="18"/>
          <w:lang w:val="en-US"/>
        </w:rPr>
      </w:pPr>
      <w:r w:rsidRPr="001342B1">
        <w:rPr>
          <w:rStyle w:val="Svakutheving"/>
          <w:i w:val="0"/>
          <w:sz w:val="18"/>
          <w:szCs w:val="18"/>
          <w:lang w:val="en-US"/>
        </w:rPr>
        <w:t>Moch, P., Yang, Z. (2014). Driving Electrification. A global comparison of fiscal incentive policy for Electric vehicles. White paper.ICCT. Washington, The International Council on Clean Transportation.</w:t>
      </w:r>
    </w:p>
    <w:p w14:paraId="1790C50D" w14:textId="77777777" w:rsidR="00B23D40" w:rsidRPr="001342B1" w:rsidRDefault="00B23D40" w:rsidP="001342B1">
      <w:pPr>
        <w:spacing w:after="120"/>
        <w:rPr>
          <w:sz w:val="18"/>
          <w:szCs w:val="18"/>
        </w:rPr>
      </w:pPr>
      <w:r w:rsidRPr="001342B1">
        <w:rPr>
          <w:sz w:val="18"/>
          <w:szCs w:val="18"/>
        </w:rPr>
        <w:t>Nissan (2014), Nissan's electric car drivers cover more kilometres than the average petrol or diesel vehicle, Press release, Nissan International SA, 08. January 2015.</w:t>
      </w:r>
    </w:p>
    <w:p w14:paraId="27E43EFE" w14:textId="77777777" w:rsidR="00B23D40" w:rsidRPr="001342B1" w:rsidRDefault="00B23D40" w:rsidP="001342B1">
      <w:pPr>
        <w:spacing w:after="120"/>
        <w:rPr>
          <w:sz w:val="18"/>
          <w:szCs w:val="18"/>
        </w:rPr>
      </w:pPr>
      <w:r w:rsidRPr="001342B1">
        <w:rPr>
          <w:sz w:val="18"/>
          <w:szCs w:val="18"/>
        </w:rPr>
        <w:t>Norwegian Environment agency (2014). Kunnskapsgrunnlag for lavutslippsutvikling. Rapport M229-2014.</w:t>
      </w:r>
    </w:p>
    <w:p w14:paraId="5CF704AD" w14:textId="77777777" w:rsidR="009D217F" w:rsidRPr="001342B1" w:rsidRDefault="009D217F" w:rsidP="001342B1">
      <w:pPr>
        <w:spacing w:after="120"/>
        <w:rPr>
          <w:sz w:val="18"/>
          <w:szCs w:val="18"/>
        </w:rPr>
      </w:pPr>
      <w:r w:rsidRPr="001342B1">
        <w:rPr>
          <w:sz w:val="18"/>
          <w:szCs w:val="18"/>
        </w:rPr>
        <w:t>Norwegian Climate Policy (2012). Report No. 21 to the Parliament (2011-2012), Recommendation from the Ministry of the Environment, 25 April 2012, approved by the Cabinet on the same date (Stoltenberg II Government).</w:t>
      </w:r>
    </w:p>
    <w:p w14:paraId="7A5163BF" w14:textId="4BCCEB5D" w:rsidR="00B23D40" w:rsidRPr="001342B1" w:rsidRDefault="00B23D40" w:rsidP="001342B1">
      <w:pPr>
        <w:spacing w:after="120"/>
        <w:rPr>
          <w:rStyle w:val="Svakutheving"/>
          <w:i w:val="0"/>
          <w:sz w:val="18"/>
          <w:szCs w:val="18"/>
        </w:rPr>
      </w:pPr>
      <w:r w:rsidRPr="001342B1">
        <w:rPr>
          <w:sz w:val="18"/>
          <w:szCs w:val="18"/>
        </w:rPr>
        <w:t>NPRA and the EV Association (2008-2014). Spreadsheets containing data from Norwegian vehicle registry of EVs sold in Norway per municipality 2008-2014.</w:t>
      </w:r>
    </w:p>
    <w:p w14:paraId="4B3C4ACB" w14:textId="10AA7205" w:rsidR="000B410C" w:rsidRPr="001342B1" w:rsidRDefault="000B410C" w:rsidP="001342B1">
      <w:pPr>
        <w:spacing w:after="120"/>
        <w:rPr>
          <w:sz w:val="18"/>
          <w:szCs w:val="18"/>
          <w:lang w:val="nb-NO"/>
        </w:rPr>
      </w:pPr>
      <w:r w:rsidRPr="001342B1">
        <w:rPr>
          <w:sz w:val="18"/>
          <w:szCs w:val="18"/>
          <w:lang w:val="nb-NO"/>
        </w:rPr>
        <w:t xml:space="preserve">NTP </w:t>
      </w:r>
      <w:r w:rsidR="001F0284" w:rsidRPr="001342B1">
        <w:rPr>
          <w:sz w:val="18"/>
          <w:szCs w:val="18"/>
          <w:lang w:val="nb-NO"/>
        </w:rPr>
        <w:t>(</w:t>
      </w:r>
      <w:r w:rsidRPr="001342B1">
        <w:rPr>
          <w:sz w:val="18"/>
          <w:szCs w:val="18"/>
          <w:lang w:val="nb-NO"/>
        </w:rPr>
        <w:t>2016</w:t>
      </w:r>
      <w:r w:rsidR="001F0284" w:rsidRPr="001342B1">
        <w:rPr>
          <w:sz w:val="18"/>
          <w:szCs w:val="18"/>
          <w:lang w:val="nb-NO"/>
        </w:rPr>
        <w:t>).</w:t>
      </w:r>
      <w:r w:rsidRPr="001342B1">
        <w:rPr>
          <w:sz w:val="18"/>
          <w:szCs w:val="18"/>
          <w:lang w:val="nb-NO"/>
        </w:rPr>
        <w:t xml:space="preserve"> Nasjonal transportplan 2018-2029, Grunnlagsdokument</w:t>
      </w:r>
      <w:r w:rsidR="001F0284" w:rsidRPr="001342B1">
        <w:rPr>
          <w:sz w:val="18"/>
          <w:szCs w:val="18"/>
          <w:lang w:val="nb-NO"/>
        </w:rPr>
        <w:t xml:space="preserve"> (in Norwegian)</w:t>
      </w:r>
      <w:r w:rsidRPr="001342B1">
        <w:rPr>
          <w:sz w:val="18"/>
          <w:szCs w:val="18"/>
          <w:lang w:val="nb-NO"/>
        </w:rPr>
        <w:t xml:space="preserve">. Revidert utgave 12. Mai 2016. Avinor, Jernbaneverket, Kystverket, Statens Vegvesen. </w:t>
      </w:r>
    </w:p>
    <w:p w14:paraId="1F6C8F8C" w14:textId="77777777" w:rsidR="00B23D40" w:rsidRPr="001342B1" w:rsidRDefault="00B23D40" w:rsidP="001342B1">
      <w:pPr>
        <w:spacing w:after="120"/>
        <w:rPr>
          <w:rStyle w:val="Svakutheving"/>
          <w:i w:val="0"/>
          <w:sz w:val="18"/>
          <w:szCs w:val="18"/>
          <w:lang w:val="nb-NO"/>
        </w:rPr>
      </w:pPr>
      <w:r w:rsidRPr="001342B1">
        <w:rPr>
          <w:rStyle w:val="Svakutheving"/>
          <w:i w:val="0"/>
          <w:sz w:val="18"/>
          <w:szCs w:val="18"/>
          <w:lang w:val="nb-NO"/>
        </w:rPr>
        <w:t>OFVAS (2012, 2014). Sales Statistics 2010-2014. Spreadsheet from Opplysningsrådet for veitrafikken AS. (The Information Council for Road Traffic).</w:t>
      </w:r>
    </w:p>
    <w:p w14:paraId="22CBBCC3" w14:textId="53555D1A" w:rsidR="00B23D40" w:rsidRPr="001342B1" w:rsidRDefault="00B23D40" w:rsidP="001342B1">
      <w:pPr>
        <w:spacing w:after="120"/>
        <w:rPr>
          <w:sz w:val="18"/>
          <w:szCs w:val="18"/>
        </w:rPr>
      </w:pPr>
      <w:r w:rsidRPr="001342B1">
        <w:rPr>
          <w:sz w:val="18"/>
          <w:szCs w:val="18"/>
        </w:rPr>
        <w:t>OFVAS (201</w:t>
      </w:r>
      <w:r w:rsidR="001F0284" w:rsidRPr="001342B1">
        <w:rPr>
          <w:sz w:val="18"/>
          <w:szCs w:val="18"/>
        </w:rPr>
        <w:t>6</w:t>
      </w:r>
      <w:r w:rsidRPr="001342B1">
        <w:rPr>
          <w:sz w:val="18"/>
          <w:szCs w:val="18"/>
        </w:rPr>
        <w:t xml:space="preserve">). Brand, segment and </w:t>
      </w:r>
      <w:r w:rsidR="00E57514" w:rsidRPr="001342B1">
        <w:rPr>
          <w:sz w:val="18"/>
          <w:szCs w:val="18"/>
        </w:rPr>
        <w:t>BEV</w:t>
      </w:r>
      <w:r w:rsidRPr="001342B1">
        <w:rPr>
          <w:sz w:val="18"/>
          <w:szCs w:val="18"/>
        </w:rPr>
        <w:t xml:space="preserve"> sales statistics from OFVAS, </w:t>
      </w:r>
      <w:hyperlink r:id="rId33" w:history="1">
        <w:r w:rsidRPr="001342B1">
          <w:rPr>
            <w:rStyle w:val="Hyperkobling"/>
            <w:sz w:val="18"/>
            <w:szCs w:val="18"/>
          </w:rPr>
          <w:t>http://www.ofvas.no/bilsalget/category404.html</w:t>
        </w:r>
      </w:hyperlink>
      <w:r w:rsidRPr="001342B1">
        <w:rPr>
          <w:sz w:val="18"/>
          <w:szCs w:val="18"/>
        </w:rPr>
        <w:t>.</w:t>
      </w:r>
    </w:p>
    <w:p w14:paraId="33A81B62" w14:textId="280ECFCB" w:rsidR="00B23D40" w:rsidRPr="001342B1" w:rsidRDefault="00B23D40" w:rsidP="001342B1">
      <w:pPr>
        <w:spacing w:after="120"/>
        <w:rPr>
          <w:rStyle w:val="Svakutheving"/>
          <w:i w:val="0"/>
          <w:sz w:val="18"/>
          <w:szCs w:val="18"/>
        </w:rPr>
      </w:pPr>
      <w:r w:rsidRPr="001342B1">
        <w:rPr>
          <w:sz w:val="18"/>
          <w:szCs w:val="18"/>
        </w:rPr>
        <w:t xml:space="preserve">Pan et. al. (2012). Urban characteristics attributable to density-driven tie formation. NetSci 2012, </w:t>
      </w:r>
    </w:p>
    <w:p w14:paraId="563368D5" w14:textId="77777777" w:rsidR="00B23D40" w:rsidRPr="001342B1" w:rsidRDefault="00D638A2" w:rsidP="001342B1">
      <w:pPr>
        <w:spacing w:after="120"/>
        <w:rPr>
          <w:rStyle w:val="Svakutheving"/>
          <w:i w:val="0"/>
          <w:sz w:val="18"/>
          <w:szCs w:val="18"/>
          <w:lang w:val="en-US"/>
        </w:rPr>
      </w:pPr>
      <w:r w:rsidRPr="001342B1">
        <w:rPr>
          <w:rStyle w:val="Svakutheving"/>
          <w:i w:val="0"/>
          <w:sz w:val="18"/>
          <w:szCs w:val="18"/>
          <w:lang w:val="en-US"/>
        </w:rPr>
        <w:t>Retriever (2016</w:t>
      </w:r>
      <w:r w:rsidR="00B23D40" w:rsidRPr="001342B1">
        <w:rPr>
          <w:rStyle w:val="Svakutheving"/>
          <w:i w:val="0"/>
          <w:sz w:val="18"/>
          <w:szCs w:val="18"/>
          <w:lang w:val="en-US"/>
        </w:rPr>
        <w:t xml:space="preserve">). Search engine results for news articles in Norwegian media (Subscription only). </w:t>
      </w:r>
    </w:p>
    <w:p w14:paraId="0D498B46" w14:textId="77777777" w:rsidR="00B23D40" w:rsidRPr="001342B1" w:rsidRDefault="00B23D40" w:rsidP="001342B1">
      <w:pPr>
        <w:spacing w:after="120"/>
        <w:rPr>
          <w:rStyle w:val="Svakutheving"/>
          <w:i w:val="0"/>
          <w:sz w:val="18"/>
          <w:szCs w:val="18"/>
          <w:lang w:val="en-US"/>
        </w:rPr>
      </w:pPr>
      <w:r w:rsidRPr="001342B1">
        <w:rPr>
          <w:rStyle w:val="Svakutheving"/>
          <w:i w:val="0"/>
          <w:sz w:val="18"/>
          <w:szCs w:val="18"/>
          <w:lang w:val="en-US"/>
        </w:rPr>
        <w:t>Rogers, E.M. (1962). Diffusion of Innovations. ISBN 0-612-62843-4. Glencoe Free Press.</w:t>
      </w:r>
    </w:p>
    <w:p w14:paraId="5970B260" w14:textId="77777777" w:rsidR="00B23D40" w:rsidRPr="001342B1" w:rsidRDefault="00B23D40" w:rsidP="001342B1">
      <w:pPr>
        <w:spacing w:after="120"/>
        <w:rPr>
          <w:rStyle w:val="Svakutheving"/>
          <w:i w:val="0"/>
          <w:sz w:val="18"/>
          <w:szCs w:val="18"/>
          <w:lang w:val="en-US"/>
        </w:rPr>
      </w:pPr>
      <w:r w:rsidRPr="001342B1">
        <w:rPr>
          <w:rStyle w:val="Svakutheving"/>
          <w:i w:val="0"/>
          <w:sz w:val="18"/>
          <w:szCs w:val="18"/>
          <w:lang w:val="en-US"/>
        </w:rPr>
        <w:t>Rogers, E.M. (1995). Diffusion of Innovations. ISBN 0-7432-2209-1. New York, Free Press.</w:t>
      </w:r>
    </w:p>
    <w:p w14:paraId="537804AF" w14:textId="77777777" w:rsidR="00B23D40" w:rsidRPr="001342B1" w:rsidRDefault="00B23D40" w:rsidP="001342B1">
      <w:pPr>
        <w:spacing w:after="120"/>
        <w:rPr>
          <w:sz w:val="18"/>
          <w:szCs w:val="18"/>
        </w:rPr>
      </w:pPr>
      <w:r w:rsidRPr="001342B1">
        <w:rPr>
          <w:sz w:val="18"/>
          <w:szCs w:val="18"/>
        </w:rPr>
        <w:lastRenderedPageBreak/>
        <w:t xml:space="preserve">Taxnorway (2015). Price list vehicles for years 1998-2014. </w:t>
      </w:r>
      <w:hyperlink r:id="rId34" w:history="1">
        <w:r w:rsidRPr="001342B1">
          <w:rPr>
            <w:rStyle w:val="Hyperkobling"/>
            <w:sz w:val="18"/>
            <w:szCs w:val="18"/>
          </w:rPr>
          <w:t>http://www.skatteetaten.no/en/Rates/Car-prices---list-prices-as-new/</w:t>
        </w:r>
      </w:hyperlink>
      <w:r w:rsidRPr="001342B1">
        <w:rPr>
          <w:sz w:val="18"/>
          <w:szCs w:val="18"/>
        </w:rPr>
        <w:t xml:space="preserve">SSB (2001). Data from Population and housing census 2001, Statistics Norway 2001. </w:t>
      </w:r>
    </w:p>
    <w:p w14:paraId="67DC41D2" w14:textId="156C6184" w:rsidR="00815AB3" w:rsidRPr="00CE5507" w:rsidRDefault="00815AB3" w:rsidP="001342B1">
      <w:pPr>
        <w:pStyle w:val="NormalWeb"/>
        <w:spacing w:before="0" w:beforeAutospacing="0" w:after="120" w:afterAutospacing="0"/>
        <w:rPr>
          <w:rStyle w:val="Svakutheving"/>
          <w:rFonts w:ascii="Arial" w:hAnsi="Arial" w:cs="Arial"/>
          <w:i w:val="0"/>
          <w:iCs w:val="0"/>
          <w:color w:val="auto"/>
        </w:rPr>
      </w:pPr>
      <w:r w:rsidRPr="00CE5507">
        <w:rPr>
          <w:rStyle w:val="Svakutheving"/>
          <w:rFonts w:ascii="Arial" w:hAnsi="Arial" w:cs="Arial"/>
          <w:i w:val="0"/>
          <w:sz w:val="18"/>
          <w:szCs w:val="18"/>
          <w:lang w:val="en-US"/>
        </w:rPr>
        <w:t>Statistics Norway (2004, 2006</w:t>
      </w:r>
      <w:r w:rsidR="001342B1" w:rsidRPr="00CE5507">
        <w:rPr>
          <w:rStyle w:val="Svakutheving"/>
          <w:i w:val="0"/>
          <w:sz w:val="18"/>
          <w:szCs w:val="18"/>
          <w:lang w:val="en-US"/>
        </w:rPr>
        <w:t xml:space="preserve">, </w:t>
      </w:r>
      <w:r w:rsidR="00CE5507" w:rsidRPr="00CE5507">
        <w:rPr>
          <w:rStyle w:val="Svakutheving"/>
          <w:rFonts w:ascii="Arial" w:hAnsi="Arial" w:cs="Arial"/>
          <w:i w:val="0"/>
          <w:sz w:val="18"/>
          <w:szCs w:val="18"/>
          <w:lang w:val="en-US"/>
        </w:rPr>
        <w:t xml:space="preserve">2013, </w:t>
      </w:r>
      <w:r w:rsidR="001342B1" w:rsidRPr="00CE5507">
        <w:rPr>
          <w:rStyle w:val="Svakutheving"/>
          <w:rFonts w:ascii="Arial" w:hAnsi="Arial" w:cs="Arial"/>
          <w:i w:val="0"/>
          <w:sz w:val="18"/>
          <w:szCs w:val="18"/>
          <w:lang w:val="en-US"/>
        </w:rPr>
        <w:t>2016</w:t>
      </w:r>
      <w:r w:rsidRPr="00CE5507">
        <w:rPr>
          <w:rStyle w:val="Svakutheving"/>
          <w:rFonts w:ascii="Arial" w:hAnsi="Arial" w:cs="Arial"/>
          <w:i w:val="0"/>
          <w:sz w:val="18"/>
          <w:szCs w:val="18"/>
          <w:lang w:val="en-US"/>
        </w:rPr>
        <w:t xml:space="preserve">). </w:t>
      </w:r>
      <w:r w:rsidR="001342B1" w:rsidRPr="00CE5507">
        <w:rPr>
          <w:rStyle w:val="Svakutheving"/>
          <w:rFonts w:ascii="Arial" w:hAnsi="Arial" w:cs="Arial"/>
          <w:i w:val="0"/>
          <w:sz w:val="18"/>
          <w:szCs w:val="18"/>
          <w:lang w:val="en-US"/>
        </w:rPr>
        <w:t xml:space="preserve">Vehicle registration statistics. </w:t>
      </w:r>
      <w:hyperlink r:id="rId35" w:history="1">
        <w:r w:rsidR="001342B1" w:rsidRPr="00CE5507">
          <w:rPr>
            <w:rStyle w:val="Hyperkobling"/>
            <w:rFonts w:ascii="Arial" w:hAnsi="Arial" w:cs="Arial"/>
            <w:sz w:val="18"/>
            <w:szCs w:val="18"/>
          </w:rPr>
          <w:t>http://ssb.no/transport-og-reiseliv/statistikker/bilreg/aar</w:t>
        </w:r>
      </w:hyperlink>
      <w:r w:rsidR="001342B1" w:rsidRPr="00CE5507">
        <w:rPr>
          <w:rFonts w:ascii="Arial" w:hAnsi="Arial" w:cs="Arial"/>
          <w:sz w:val="18"/>
          <w:szCs w:val="18"/>
        </w:rPr>
        <w:t xml:space="preserve"> </w:t>
      </w:r>
    </w:p>
    <w:p w14:paraId="07D60649" w14:textId="77777777" w:rsidR="00B23D40" w:rsidRPr="001342B1" w:rsidRDefault="00B23D40" w:rsidP="001342B1">
      <w:pPr>
        <w:spacing w:after="120"/>
        <w:rPr>
          <w:rStyle w:val="Svakutheving"/>
          <w:i w:val="0"/>
          <w:sz w:val="18"/>
          <w:szCs w:val="18"/>
        </w:rPr>
      </w:pPr>
      <w:r w:rsidRPr="001342B1">
        <w:rPr>
          <w:rStyle w:val="Svakutheving"/>
          <w:i w:val="0"/>
          <w:sz w:val="18"/>
          <w:szCs w:val="18"/>
        </w:rPr>
        <w:t xml:space="preserve">Statistics Norway (2014). This is Norway 2014. </w:t>
      </w:r>
      <w:hyperlink r:id="rId36" w:history="1">
        <w:r w:rsidR="00815AB3" w:rsidRPr="001342B1">
          <w:rPr>
            <w:rStyle w:val="Hyperkobling"/>
            <w:sz w:val="18"/>
            <w:szCs w:val="18"/>
          </w:rPr>
          <w:t>http://www.ssb.no/en/befolkning/artikler-og-publikasjoner/this-is-norway-2014</w:t>
        </w:r>
      </w:hyperlink>
    </w:p>
    <w:p w14:paraId="0A5D9634" w14:textId="39D855AE" w:rsidR="000B410C" w:rsidRPr="001342B1" w:rsidRDefault="000B410C" w:rsidP="001342B1">
      <w:pPr>
        <w:spacing w:after="120"/>
        <w:rPr>
          <w:sz w:val="18"/>
          <w:szCs w:val="18"/>
          <w:lang w:val="nb-NO"/>
        </w:rPr>
      </w:pPr>
      <w:r w:rsidRPr="001342B1">
        <w:rPr>
          <w:sz w:val="18"/>
          <w:szCs w:val="18"/>
          <w:lang w:val="nb-NO"/>
        </w:rPr>
        <w:t xml:space="preserve">Stortinget </w:t>
      </w:r>
      <w:r w:rsidR="001F0284" w:rsidRPr="001342B1">
        <w:rPr>
          <w:sz w:val="18"/>
          <w:szCs w:val="18"/>
          <w:lang w:val="nb-NO"/>
        </w:rPr>
        <w:t>(</w:t>
      </w:r>
      <w:r w:rsidRPr="001342B1">
        <w:rPr>
          <w:sz w:val="18"/>
          <w:szCs w:val="18"/>
          <w:lang w:val="nb-NO"/>
        </w:rPr>
        <w:t>2016</w:t>
      </w:r>
      <w:r w:rsidR="001F0284" w:rsidRPr="001342B1">
        <w:rPr>
          <w:sz w:val="18"/>
          <w:szCs w:val="18"/>
          <w:lang w:val="nb-NO"/>
        </w:rPr>
        <w:t>)</w:t>
      </w:r>
      <w:r w:rsidRPr="001342B1">
        <w:rPr>
          <w:sz w:val="18"/>
          <w:szCs w:val="18"/>
          <w:lang w:val="nb-NO"/>
        </w:rPr>
        <w:t xml:space="preserve">. Innst. 401 S (2015-2016). Meld. St. 25 (2015-2016). Innstilling fra energi- og miljøkomiteeen om Kraft til endring – Energipolitikken mot 2030. </w:t>
      </w:r>
    </w:p>
    <w:p w14:paraId="17F57B00" w14:textId="20F8F862" w:rsidR="00B23D40" w:rsidRPr="001342B1" w:rsidRDefault="00B23D40" w:rsidP="001342B1">
      <w:pPr>
        <w:spacing w:after="120"/>
        <w:rPr>
          <w:rStyle w:val="Svakutheving"/>
          <w:i w:val="0"/>
          <w:sz w:val="18"/>
          <w:szCs w:val="18"/>
          <w:lang w:val="en-US"/>
        </w:rPr>
      </w:pPr>
      <w:r w:rsidRPr="001342B1">
        <w:rPr>
          <w:sz w:val="18"/>
          <w:szCs w:val="18"/>
          <w:lang w:val="nb-NO"/>
        </w:rPr>
        <w:t>van den Bergh, J. C., Truffer, B. and Kallis, G. (2011). Environmental innovation and societal transitions: Introduct</w:t>
      </w:r>
      <w:r w:rsidRPr="001342B1">
        <w:rPr>
          <w:sz w:val="18"/>
          <w:szCs w:val="18"/>
        </w:rPr>
        <w:t xml:space="preserve">ion and overview. </w:t>
      </w:r>
      <w:r w:rsidRPr="001342B1">
        <w:rPr>
          <w:iCs/>
          <w:sz w:val="18"/>
          <w:szCs w:val="18"/>
        </w:rPr>
        <w:t xml:space="preserve">Environmental Innovation and Societal Transitions, </w:t>
      </w:r>
      <w:r w:rsidRPr="001342B1">
        <w:rPr>
          <w:sz w:val="18"/>
          <w:szCs w:val="18"/>
        </w:rPr>
        <w:t>1(1) pp 1-23.</w:t>
      </w:r>
      <w:r w:rsidRPr="001342B1">
        <w:rPr>
          <w:rStyle w:val="Svakutheving"/>
          <w:i w:val="0"/>
          <w:sz w:val="18"/>
          <w:szCs w:val="18"/>
          <w:lang w:val="en-US"/>
        </w:rPr>
        <w:t xml:space="preserve"> </w:t>
      </w:r>
    </w:p>
    <w:p w14:paraId="3F7C7DE6" w14:textId="77777777" w:rsidR="00C2679F" w:rsidRPr="001342B1" w:rsidRDefault="00C2679F" w:rsidP="004B4680">
      <w:pPr>
        <w:spacing w:after="120"/>
        <w:rPr>
          <w:sz w:val="18"/>
          <w:szCs w:val="18"/>
        </w:rPr>
      </w:pPr>
    </w:p>
    <w:p w14:paraId="217E6FCA" w14:textId="77777777" w:rsidR="0067392B" w:rsidRDefault="0067392B" w:rsidP="004B4680">
      <w:pPr>
        <w:spacing w:after="120"/>
      </w:pPr>
    </w:p>
    <w:sectPr w:rsidR="0067392B" w:rsidSect="00FA56F6">
      <w:headerReference w:type="default" r:id="rId37"/>
      <w:footerReference w:type="default" r:id="rId38"/>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B7D58" w14:textId="77777777" w:rsidR="00D83599" w:rsidRDefault="00D83599" w:rsidP="005A55EB">
      <w:r>
        <w:separator/>
      </w:r>
    </w:p>
  </w:endnote>
  <w:endnote w:type="continuationSeparator" w:id="0">
    <w:p w14:paraId="574FCBD9" w14:textId="77777777" w:rsidR="00D83599" w:rsidRDefault="00D83599" w:rsidP="005A5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T16Ft00">
    <w:altName w:val="Arial Unicode MS"/>
    <w:panose1 w:val="00000000000000000000"/>
    <w:charset w:val="81"/>
    <w:family w:val="auto"/>
    <w:notTrueType/>
    <w:pitch w:val="default"/>
    <w:sig w:usb0="00000000" w:usb1="09060000" w:usb2="00000010" w:usb3="00000000" w:csb0="00080000" w:csb1="00000000"/>
  </w:font>
  <w:font w:name="VlnxjyAdvTT3713a231">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36A48" w14:textId="77777777" w:rsidR="00D83599" w:rsidRPr="00E94F0D" w:rsidRDefault="00D83599" w:rsidP="005A55EB">
    <w:pPr>
      <w:pStyle w:val="copyright"/>
    </w:pPr>
    <w:r w:rsidRPr="00E94F0D">
      <w:rPr>
        <w:bCs/>
        <w:i/>
        <w:iCs/>
      </w:rPr>
      <w:t xml:space="preserve">© AET 2016 and contributors </w:t>
    </w:r>
  </w:p>
  <w:p w14:paraId="0B512DCB" w14:textId="5C88D874" w:rsidR="00D83599" w:rsidRPr="00E94F0D" w:rsidRDefault="00D83599" w:rsidP="005A55EB">
    <w:pPr>
      <w:pStyle w:val="PageNumber1"/>
      <w:rPr>
        <w:sz w:val="20"/>
        <w:szCs w:val="20"/>
      </w:rPr>
    </w:pPr>
    <w:r w:rsidRPr="00E94F0D">
      <w:rPr>
        <w:sz w:val="20"/>
        <w:szCs w:val="20"/>
      </w:rPr>
      <w:fldChar w:fldCharType="begin"/>
    </w:r>
    <w:r w:rsidRPr="00E94F0D">
      <w:rPr>
        <w:sz w:val="20"/>
        <w:szCs w:val="20"/>
      </w:rPr>
      <w:instrText xml:space="preserve"> PAGE   \* MERGEFORMAT </w:instrText>
    </w:r>
    <w:r w:rsidRPr="00E94F0D">
      <w:rPr>
        <w:sz w:val="20"/>
        <w:szCs w:val="20"/>
      </w:rPr>
      <w:fldChar w:fldCharType="separate"/>
    </w:r>
    <w:r w:rsidR="00DC1BC6">
      <w:rPr>
        <w:noProof/>
        <w:sz w:val="20"/>
        <w:szCs w:val="20"/>
      </w:rPr>
      <w:t>1</w:t>
    </w:r>
    <w:r w:rsidRPr="00E94F0D">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FAEFF9" w14:textId="77777777" w:rsidR="00D83599" w:rsidRDefault="00D83599" w:rsidP="005A55EB">
      <w:r>
        <w:separator/>
      </w:r>
    </w:p>
  </w:footnote>
  <w:footnote w:type="continuationSeparator" w:id="0">
    <w:p w14:paraId="40FD7EAB" w14:textId="77777777" w:rsidR="00D83599" w:rsidRDefault="00D83599" w:rsidP="005A5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AA4C8" w14:textId="77777777" w:rsidR="00D83599" w:rsidRDefault="00D83599">
    <w:pPr>
      <w:pStyle w:val="Topptekst"/>
    </w:pPr>
    <w:r w:rsidRPr="00932CD8">
      <w:rPr>
        <w:noProof/>
        <w:lang w:val="nb-NO" w:eastAsia="nb-NO"/>
      </w:rPr>
      <w:drawing>
        <wp:anchor distT="0" distB="0" distL="114300" distR="114300" simplePos="0" relativeHeight="251661312" behindDoc="0" locked="0" layoutInCell="1" allowOverlap="1" wp14:anchorId="109FC6AC" wp14:editId="5C956B41">
          <wp:simplePos x="0" y="0"/>
          <wp:positionH relativeFrom="margin">
            <wp:align>right</wp:align>
          </wp:positionH>
          <wp:positionV relativeFrom="paragraph">
            <wp:posOffset>-290627</wp:posOffset>
          </wp:positionV>
          <wp:extent cx="1215390" cy="609600"/>
          <wp:effectExtent l="0" t="0" r="381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539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b-NO" w:eastAsia="nb-NO"/>
      </w:rPr>
      <w:drawing>
        <wp:anchor distT="0" distB="0" distL="114300" distR="114300" simplePos="0" relativeHeight="251659264" behindDoc="0" locked="0" layoutInCell="1" allowOverlap="1" wp14:anchorId="6B409459" wp14:editId="2787FE37">
          <wp:simplePos x="0" y="0"/>
          <wp:positionH relativeFrom="column">
            <wp:posOffset>1905</wp:posOffset>
          </wp:positionH>
          <wp:positionV relativeFrom="paragraph">
            <wp:posOffset>-311670</wp:posOffset>
          </wp:positionV>
          <wp:extent cx="505691" cy="636448"/>
          <wp:effectExtent l="0" t="0" r="8890" b="0"/>
          <wp:wrapNone/>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tLogoCurrent.gif"/>
                  <pic:cNvPicPr/>
                </pic:nvPicPr>
                <pic:blipFill rotWithShape="1">
                  <a:blip r:embed="rId2" cstate="print">
                    <a:extLst>
                      <a:ext uri="{28A0092B-C50C-407E-A947-70E740481C1C}">
                        <a14:useLocalDpi xmlns:a14="http://schemas.microsoft.com/office/drawing/2010/main"/>
                      </a:ext>
                    </a:extLst>
                  </a:blip>
                  <a:srcRect t="17136"/>
                  <a:stretch/>
                </pic:blipFill>
                <pic:spPr bwMode="auto">
                  <a:xfrm>
                    <a:off x="0" y="0"/>
                    <a:ext cx="505460" cy="6361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590B"/>
    <w:multiLevelType w:val="hybridMultilevel"/>
    <w:tmpl w:val="A858B77E"/>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502" w:hanging="360"/>
      </w:pPr>
      <w:rPr>
        <w:rFonts w:ascii="Symbol" w:hAnsi="Symbol"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4043066"/>
    <w:multiLevelType w:val="multilevel"/>
    <w:tmpl w:val="0330AB0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E5B705E"/>
    <w:multiLevelType w:val="hybridMultilevel"/>
    <w:tmpl w:val="075A7D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E7408EC"/>
    <w:multiLevelType w:val="hybridMultilevel"/>
    <w:tmpl w:val="D682EF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1ED2CA3"/>
    <w:multiLevelType w:val="hybridMultilevel"/>
    <w:tmpl w:val="411C46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3B10805"/>
    <w:multiLevelType w:val="hybridMultilevel"/>
    <w:tmpl w:val="99863D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686166C"/>
    <w:multiLevelType w:val="multilevel"/>
    <w:tmpl w:val="F1AC0C7A"/>
    <w:lvl w:ilvl="0">
      <w:start w:val="1"/>
      <w:numFmt w:val="decimal"/>
      <w:pStyle w:val="Overskrift1"/>
      <w:lvlText w:val="%1."/>
      <w:legacy w:legacy="1" w:legacySpace="0" w:legacyIndent="283"/>
      <w:lvlJc w:val="left"/>
      <w:pPr>
        <w:ind w:left="283" w:hanging="283"/>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97D4971"/>
    <w:multiLevelType w:val="hybridMultilevel"/>
    <w:tmpl w:val="C6A2CFE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2F1746A5"/>
    <w:multiLevelType w:val="hybridMultilevel"/>
    <w:tmpl w:val="C8FCF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E7042F"/>
    <w:multiLevelType w:val="multilevel"/>
    <w:tmpl w:val="E2186E18"/>
    <w:lvl w:ilvl="0">
      <w:start w:val="1"/>
      <w:numFmt w:val="decimal"/>
      <w:lvlText w:val="%1."/>
      <w:lvlJc w:val="left"/>
      <w:pPr>
        <w:ind w:left="360" w:hanging="360"/>
      </w:pPr>
    </w:lvl>
    <w:lvl w:ilvl="1">
      <w:start w:val="1"/>
      <w:numFmt w:val="decimal"/>
      <w:pStyle w:val="Overskrift2"/>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3FA4024"/>
    <w:multiLevelType w:val="hybridMultilevel"/>
    <w:tmpl w:val="948C5490"/>
    <w:lvl w:ilvl="0" w:tplc="A8C2865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8055BED"/>
    <w:multiLevelType w:val="hybridMultilevel"/>
    <w:tmpl w:val="B59CA7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DC57B92"/>
    <w:multiLevelType w:val="hybridMultilevel"/>
    <w:tmpl w:val="D7044594"/>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15B70D1"/>
    <w:multiLevelType w:val="hybridMultilevel"/>
    <w:tmpl w:val="61EAE69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3DB79C7"/>
    <w:multiLevelType w:val="hybridMultilevel"/>
    <w:tmpl w:val="0E72812E"/>
    <w:lvl w:ilvl="0" w:tplc="596AAD86">
      <w:start w:val="1"/>
      <w:numFmt w:val="bullet"/>
      <w:pStyle w:val="Listeavsnit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3203052"/>
    <w:multiLevelType w:val="hybridMultilevel"/>
    <w:tmpl w:val="CE982DD6"/>
    <w:lvl w:ilvl="0" w:tplc="7D386CDC">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61652F7"/>
    <w:multiLevelType w:val="hybridMultilevel"/>
    <w:tmpl w:val="2A8231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E802440"/>
    <w:multiLevelType w:val="hybridMultilevel"/>
    <w:tmpl w:val="EE1C35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F823AE2"/>
    <w:multiLevelType w:val="hybridMultilevel"/>
    <w:tmpl w:val="6FFCB4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0376B93"/>
    <w:multiLevelType w:val="hybridMultilevel"/>
    <w:tmpl w:val="55BEAA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0FF65B5"/>
    <w:multiLevelType w:val="hybridMultilevel"/>
    <w:tmpl w:val="60A86F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9FB2329"/>
    <w:multiLevelType w:val="hybridMultilevel"/>
    <w:tmpl w:val="393AC2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A00479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99F2A51"/>
    <w:multiLevelType w:val="hybridMultilevel"/>
    <w:tmpl w:val="258E0F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5"/>
  </w:num>
  <w:num w:numId="4">
    <w:abstractNumId w:val="22"/>
  </w:num>
  <w:num w:numId="5">
    <w:abstractNumId w:val="11"/>
  </w:num>
  <w:num w:numId="6">
    <w:abstractNumId w:val="5"/>
  </w:num>
  <w:num w:numId="7">
    <w:abstractNumId w:val="9"/>
  </w:num>
  <w:num w:numId="8">
    <w:abstractNumId w:val="8"/>
  </w:num>
  <w:num w:numId="9">
    <w:abstractNumId w:val="14"/>
  </w:num>
  <w:num w:numId="10">
    <w:abstractNumId w:val="19"/>
  </w:num>
  <w:num w:numId="11">
    <w:abstractNumId w:val="10"/>
  </w:num>
  <w:num w:numId="12">
    <w:abstractNumId w:val="21"/>
  </w:num>
  <w:num w:numId="13">
    <w:abstractNumId w:val="1"/>
  </w:num>
  <w:num w:numId="14">
    <w:abstractNumId w:val="20"/>
  </w:num>
  <w:num w:numId="15">
    <w:abstractNumId w:val="12"/>
  </w:num>
  <w:num w:numId="16">
    <w:abstractNumId w:val="16"/>
  </w:num>
  <w:num w:numId="17">
    <w:abstractNumId w:val="7"/>
  </w:num>
  <w:num w:numId="18">
    <w:abstractNumId w:val="4"/>
  </w:num>
  <w:num w:numId="19">
    <w:abstractNumId w:val="17"/>
  </w:num>
  <w:num w:numId="20">
    <w:abstractNumId w:val="0"/>
  </w:num>
  <w:num w:numId="21">
    <w:abstractNumId w:val="18"/>
  </w:num>
  <w:num w:numId="22">
    <w:abstractNumId w:val="23"/>
  </w:num>
  <w:num w:numId="23">
    <w:abstractNumId w:val="2"/>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6"/>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79F"/>
    <w:rsid w:val="00002E34"/>
    <w:rsid w:val="00035003"/>
    <w:rsid w:val="00035C49"/>
    <w:rsid w:val="00045D83"/>
    <w:rsid w:val="00053A25"/>
    <w:rsid w:val="00054BC3"/>
    <w:rsid w:val="00064848"/>
    <w:rsid w:val="00064EB8"/>
    <w:rsid w:val="00066188"/>
    <w:rsid w:val="00066B73"/>
    <w:rsid w:val="000709DE"/>
    <w:rsid w:val="00072835"/>
    <w:rsid w:val="0009416D"/>
    <w:rsid w:val="00094E05"/>
    <w:rsid w:val="0009725B"/>
    <w:rsid w:val="000A009D"/>
    <w:rsid w:val="000A06DC"/>
    <w:rsid w:val="000A3C56"/>
    <w:rsid w:val="000A4DDA"/>
    <w:rsid w:val="000B410C"/>
    <w:rsid w:val="000B584F"/>
    <w:rsid w:val="000C29CC"/>
    <w:rsid w:val="000C3164"/>
    <w:rsid w:val="000D2068"/>
    <w:rsid w:val="000D4702"/>
    <w:rsid w:val="000E0344"/>
    <w:rsid w:val="000F1180"/>
    <w:rsid w:val="000F1A9C"/>
    <w:rsid w:val="000F6A4F"/>
    <w:rsid w:val="00105C30"/>
    <w:rsid w:val="00107450"/>
    <w:rsid w:val="00107F9E"/>
    <w:rsid w:val="00113AD1"/>
    <w:rsid w:val="00120183"/>
    <w:rsid w:val="00121116"/>
    <w:rsid w:val="00124AF4"/>
    <w:rsid w:val="001258AC"/>
    <w:rsid w:val="001342B1"/>
    <w:rsid w:val="00151BB7"/>
    <w:rsid w:val="001557D2"/>
    <w:rsid w:val="00172168"/>
    <w:rsid w:val="00182004"/>
    <w:rsid w:val="0018528F"/>
    <w:rsid w:val="00185BE7"/>
    <w:rsid w:val="00190F07"/>
    <w:rsid w:val="001947FB"/>
    <w:rsid w:val="001A093E"/>
    <w:rsid w:val="001A29CA"/>
    <w:rsid w:val="001B2E4B"/>
    <w:rsid w:val="001B75C5"/>
    <w:rsid w:val="001C7A81"/>
    <w:rsid w:val="001C7B34"/>
    <w:rsid w:val="001D0877"/>
    <w:rsid w:val="001D1A29"/>
    <w:rsid w:val="001E016E"/>
    <w:rsid w:val="001F0284"/>
    <w:rsid w:val="00214A97"/>
    <w:rsid w:val="002223F6"/>
    <w:rsid w:val="002418F9"/>
    <w:rsid w:val="00242281"/>
    <w:rsid w:val="00247551"/>
    <w:rsid w:val="0025040A"/>
    <w:rsid w:val="00251125"/>
    <w:rsid w:val="002566B5"/>
    <w:rsid w:val="00267A48"/>
    <w:rsid w:val="00273926"/>
    <w:rsid w:val="00280B7D"/>
    <w:rsid w:val="00280C77"/>
    <w:rsid w:val="00281A2C"/>
    <w:rsid w:val="00286A08"/>
    <w:rsid w:val="002B52FC"/>
    <w:rsid w:val="002C0BFC"/>
    <w:rsid w:val="002C24D4"/>
    <w:rsid w:val="002C55F7"/>
    <w:rsid w:val="002D1012"/>
    <w:rsid w:val="002D5011"/>
    <w:rsid w:val="002E67CB"/>
    <w:rsid w:val="002E69E4"/>
    <w:rsid w:val="002F42AE"/>
    <w:rsid w:val="002F4880"/>
    <w:rsid w:val="00301F7F"/>
    <w:rsid w:val="00311687"/>
    <w:rsid w:val="0031246E"/>
    <w:rsid w:val="00316F93"/>
    <w:rsid w:val="00320231"/>
    <w:rsid w:val="0032103C"/>
    <w:rsid w:val="003331CD"/>
    <w:rsid w:val="003346D1"/>
    <w:rsid w:val="00336DEC"/>
    <w:rsid w:val="00343DD8"/>
    <w:rsid w:val="003635DB"/>
    <w:rsid w:val="003739BD"/>
    <w:rsid w:val="00375F9B"/>
    <w:rsid w:val="00380A8F"/>
    <w:rsid w:val="003A3ACC"/>
    <w:rsid w:val="003A75F1"/>
    <w:rsid w:val="003A77D2"/>
    <w:rsid w:val="003B043A"/>
    <w:rsid w:val="003B2329"/>
    <w:rsid w:val="003B3D87"/>
    <w:rsid w:val="003D26E7"/>
    <w:rsid w:val="003D317A"/>
    <w:rsid w:val="003E6315"/>
    <w:rsid w:val="003E6B33"/>
    <w:rsid w:val="003E746A"/>
    <w:rsid w:val="003F02A2"/>
    <w:rsid w:val="003F5485"/>
    <w:rsid w:val="003F7330"/>
    <w:rsid w:val="00403848"/>
    <w:rsid w:val="0040412A"/>
    <w:rsid w:val="00407F43"/>
    <w:rsid w:val="00413140"/>
    <w:rsid w:val="00422519"/>
    <w:rsid w:val="00422FDF"/>
    <w:rsid w:val="004569E6"/>
    <w:rsid w:val="00457AD7"/>
    <w:rsid w:val="00457D05"/>
    <w:rsid w:val="004659BD"/>
    <w:rsid w:val="0047779C"/>
    <w:rsid w:val="00481249"/>
    <w:rsid w:val="00487273"/>
    <w:rsid w:val="00487E87"/>
    <w:rsid w:val="004939FA"/>
    <w:rsid w:val="004A3F37"/>
    <w:rsid w:val="004B4680"/>
    <w:rsid w:val="004C0B90"/>
    <w:rsid w:val="004C2D58"/>
    <w:rsid w:val="004C6516"/>
    <w:rsid w:val="004C7539"/>
    <w:rsid w:val="004E2A8A"/>
    <w:rsid w:val="004F2819"/>
    <w:rsid w:val="00503FED"/>
    <w:rsid w:val="00507579"/>
    <w:rsid w:val="00515507"/>
    <w:rsid w:val="00521104"/>
    <w:rsid w:val="00523499"/>
    <w:rsid w:val="005355D0"/>
    <w:rsid w:val="0054007F"/>
    <w:rsid w:val="00542B01"/>
    <w:rsid w:val="00563FF6"/>
    <w:rsid w:val="00565BDF"/>
    <w:rsid w:val="00592E8F"/>
    <w:rsid w:val="005A28DB"/>
    <w:rsid w:val="005A55EB"/>
    <w:rsid w:val="005B2D40"/>
    <w:rsid w:val="005B2E64"/>
    <w:rsid w:val="005B375B"/>
    <w:rsid w:val="005B765D"/>
    <w:rsid w:val="005C3C85"/>
    <w:rsid w:val="005D6201"/>
    <w:rsid w:val="005E7ADF"/>
    <w:rsid w:val="006069D1"/>
    <w:rsid w:val="00607475"/>
    <w:rsid w:val="00607F85"/>
    <w:rsid w:val="006113E6"/>
    <w:rsid w:val="00612395"/>
    <w:rsid w:val="006242A1"/>
    <w:rsid w:val="00624B1D"/>
    <w:rsid w:val="00634A37"/>
    <w:rsid w:val="00637330"/>
    <w:rsid w:val="00650637"/>
    <w:rsid w:val="0065144A"/>
    <w:rsid w:val="0066384A"/>
    <w:rsid w:val="00671332"/>
    <w:rsid w:val="0067392B"/>
    <w:rsid w:val="0068012F"/>
    <w:rsid w:val="00684808"/>
    <w:rsid w:val="006929EF"/>
    <w:rsid w:val="00695C58"/>
    <w:rsid w:val="00697F35"/>
    <w:rsid w:val="006A14CF"/>
    <w:rsid w:val="006C10B9"/>
    <w:rsid w:val="006D08F7"/>
    <w:rsid w:val="006E14DD"/>
    <w:rsid w:val="006E425C"/>
    <w:rsid w:val="006F0104"/>
    <w:rsid w:val="00704DA1"/>
    <w:rsid w:val="00710D3F"/>
    <w:rsid w:val="00712D3A"/>
    <w:rsid w:val="00717066"/>
    <w:rsid w:val="00720355"/>
    <w:rsid w:val="0072089D"/>
    <w:rsid w:val="0072246E"/>
    <w:rsid w:val="00724B48"/>
    <w:rsid w:val="00725BAE"/>
    <w:rsid w:val="007352F8"/>
    <w:rsid w:val="0074604B"/>
    <w:rsid w:val="00750946"/>
    <w:rsid w:val="0076054D"/>
    <w:rsid w:val="007662D6"/>
    <w:rsid w:val="007703EC"/>
    <w:rsid w:val="00772E40"/>
    <w:rsid w:val="00775115"/>
    <w:rsid w:val="007932F7"/>
    <w:rsid w:val="00794618"/>
    <w:rsid w:val="007A78BA"/>
    <w:rsid w:val="007B32F2"/>
    <w:rsid w:val="007B7773"/>
    <w:rsid w:val="007B7C74"/>
    <w:rsid w:val="007C68CC"/>
    <w:rsid w:val="007D1F0C"/>
    <w:rsid w:val="007D53F3"/>
    <w:rsid w:val="007D6D8A"/>
    <w:rsid w:val="007F7800"/>
    <w:rsid w:val="00800FE8"/>
    <w:rsid w:val="008021D9"/>
    <w:rsid w:val="00804996"/>
    <w:rsid w:val="00812B43"/>
    <w:rsid w:val="00815AB3"/>
    <w:rsid w:val="00833CF5"/>
    <w:rsid w:val="008375F0"/>
    <w:rsid w:val="00845374"/>
    <w:rsid w:val="008463F1"/>
    <w:rsid w:val="008477FA"/>
    <w:rsid w:val="00847A3F"/>
    <w:rsid w:val="00852F48"/>
    <w:rsid w:val="00857990"/>
    <w:rsid w:val="0086204F"/>
    <w:rsid w:val="008641DE"/>
    <w:rsid w:val="0087195C"/>
    <w:rsid w:val="008875AF"/>
    <w:rsid w:val="00887603"/>
    <w:rsid w:val="00897A7C"/>
    <w:rsid w:val="008B70B1"/>
    <w:rsid w:val="008C0DE7"/>
    <w:rsid w:val="008C2AF9"/>
    <w:rsid w:val="008C2C7A"/>
    <w:rsid w:val="008C2CA0"/>
    <w:rsid w:val="008D5678"/>
    <w:rsid w:val="008D5ADE"/>
    <w:rsid w:val="008E125D"/>
    <w:rsid w:val="008E3ED2"/>
    <w:rsid w:val="008F661B"/>
    <w:rsid w:val="009032FE"/>
    <w:rsid w:val="009225CA"/>
    <w:rsid w:val="00923118"/>
    <w:rsid w:val="009249F2"/>
    <w:rsid w:val="00926CDA"/>
    <w:rsid w:val="00930B91"/>
    <w:rsid w:val="00932CD8"/>
    <w:rsid w:val="009372A1"/>
    <w:rsid w:val="00945D46"/>
    <w:rsid w:val="00950846"/>
    <w:rsid w:val="009566DB"/>
    <w:rsid w:val="0095792A"/>
    <w:rsid w:val="00971081"/>
    <w:rsid w:val="009727F9"/>
    <w:rsid w:val="009752A2"/>
    <w:rsid w:val="00992E00"/>
    <w:rsid w:val="0099457D"/>
    <w:rsid w:val="009A777F"/>
    <w:rsid w:val="009B569D"/>
    <w:rsid w:val="009C5F23"/>
    <w:rsid w:val="009D217F"/>
    <w:rsid w:val="009D7DB2"/>
    <w:rsid w:val="009E1890"/>
    <w:rsid w:val="009E3566"/>
    <w:rsid w:val="00A0246B"/>
    <w:rsid w:val="00A268D0"/>
    <w:rsid w:val="00A27D3C"/>
    <w:rsid w:val="00A37D87"/>
    <w:rsid w:val="00A41441"/>
    <w:rsid w:val="00A61AE3"/>
    <w:rsid w:val="00A77CA7"/>
    <w:rsid w:val="00A9063E"/>
    <w:rsid w:val="00A92D1F"/>
    <w:rsid w:val="00A96260"/>
    <w:rsid w:val="00A976E1"/>
    <w:rsid w:val="00AA1249"/>
    <w:rsid w:val="00AA199E"/>
    <w:rsid w:val="00AA23E6"/>
    <w:rsid w:val="00AA43B6"/>
    <w:rsid w:val="00AA6C0F"/>
    <w:rsid w:val="00AB0497"/>
    <w:rsid w:val="00AB0C94"/>
    <w:rsid w:val="00AB1C2A"/>
    <w:rsid w:val="00AC1740"/>
    <w:rsid w:val="00AC7175"/>
    <w:rsid w:val="00AD5B61"/>
    <w:rsid w:val="00AE27C4"/>
    <w:rsid w:val="00AE6282"/>
    <w:rsid w:val="00AF0D96"/>
    <w:rsid w:val="00B00A77"/>
    <w:rsid w:val="00B05BE4"/>
    <w:rsid w:val="00B0697A"/>
    <w:rsid w:val="00B20356"/>
    <w:rsid w:val="00B23D40"/>
    <w:rsid w:val="00B264DD"/>
    <w:rsid w:val="00B3044A"/>
    <w:rsid w:val="00B33ED6"/>
    <w:rsid w:val="00B3593E"/>
    <w:rsid w:val="00B40089"/>
    <w:rsid w:val="00B42F4D"/>
    <w:rsid w:val="00B521F0"/>
    <w:rsid w:val="00B5492A"/>
    <w:rsid w:val="00B54C3A"/>
    <w:rsid w:val="00B60662"/>
    <w:rsid w:val="00B608D9"/>
    <w:rsid w:val="00B703E8"/>
    <w:rsid w:val="00B72A8A"/>
    <w:rsid w:val="00B77CA5"/>
    <w:rsid w:val="00B852BC"/>
    <w:rsid w:val="00B905F7"/>
    <w:rsid w:val="00BA2B24"/>
    <w:rsid w:val="00BA6DD1"/>
    <w:rsid w:val="00BB0590"/>
    <w:rsid w:val="00BC0576"/>
    <w:rsid w:val="00BC3152"/>
    <w:rsid w:val="00BC5496"/>
    <w:rsid w:val="00BC61D8"/>
    <w:rsid w:val="00BC6E21"/>
    <w:rsid w:val="00BD7123"/>
    <w:rsid w:val="00BE1136"/>
    <w:rsid w:val="00BE1342"/>
    <w:rsid w:val="00BE1EEF"/>
    <w:rsid w:val="00BE6DC4"/>
    <w:rsid w:val="00C0334D"/>
    <w:rsid w:val="00C12E30"/>
    <w:rsid w:val="00C2005D"/>
    <w:rsid w:val="00C2220F"/>
    <w:rsid w:val="00C236BC"/>
    <w:rsid w:val="00C2679F"/>
    <w:rsid w:val="00C275B4"/>
    <w:rsid w:val="00C61643"/>
    <w:rsid w:val="00C760AC"/>
    <w:rsid w:val="00C80645"/>
    <w:rsid w:val="00C83FA1"/>
    <w:rsid w:val="00C86C14"/>
    <w:rsid w:val="00CA3D7A"/>
    <w:rsid w:val="00CB0A46"/>
    <w:rsid w:val="00CB1745"/>
    <w:rsid w:val="00CB62F3"/>
    <w:rsid w:val="00CC6A23"/>
    <w:rsid w:val="00CC74A5"/>
    <w:rsid w:val="00CD095E"/>
    <w:rsid w:val="00CE390D"/>
    <w:rsid w:val="00CE3EF5"/>
    <w:rsid w:val="00CE5507"/>
    <w:rsid w:val="00CE6ACA"/>
    <w:rsid w:val="00D017D4"/>
    <w:rsid w:val="00D10A3E"/>
    <w:rsid w:val="00D13775"/>
    <w:rsid w:val="00D17E7C"/>
    <w:rsid w:val="00D24150"/>
    <w:rsid w:val="00D264A7"/>
    <w:rsid w:val="00D30F17"/>
    <w:rsid w:val="00D318DD"/>
    <w:rsid w:val="00D418BC"/>
    <w:rsid w:val="00D4772D"/>
    <w:rsid w:val="00D5319F"/>
    <w:rsid w:val="00D5752A"/>
    <w:rsid w:val="00D629D9"/>
    <w:rsid w:val="00D638A2"/>
    <w:rsid w:val="00D64D17"/>
    <w:rsid w:val="00D74945"/>
    <w:rsid w:val="00D83599"/>
    <w:rsid w:val="00D94277"/>
    <w:rsid w:val="00D9543D"/>
    <w:rsid w:val="00DA04AD"/>
    <w:rsid w:val="00DA0A8B"/>
    <w:rsid w:val="00DA268B"/>
    <w:rsid w:val="00DB530F"/>
    <w:rsid w:val="00DC1BC6"/>
    <w:rsid w:val="00DD4B1C"/>
    <w:rsid w:val="00DD74D8"/>
    <w:rsid w:val="00DE40C5"/>
    <w:rsid w:val="00DE7E42"/>
    <w:rsid w:val="00DF0033"/>
    <w:rsid w:val="00DF6D5B"/>
    <w:rsid w:val="00E04496"/>
    <w:rsid w:val="00E16536"/>
    <w:rsid w:val="00E2283F"/>
    <w:rsid w:val="00E269C3"/>
    <w:rsid w:val="00E41849"/>
    <w:rsid w:val="00E46B87"/>
    <w:rsid w:val="00E57514"/>
    <w:rsid w:val="00E60DA1"/>
    <w:rsid w:val="00E63F52"/>
    <w:rsid w:val="00E651C7"/>
    <w:rsid w:val="00E704A8"/>
    <w:rsid w:val="00E70D10"/>
    <w:rsid w:val="00E7297A"/>
    <w:rsid w:val="00E7409F"/>
    <w:rsid w:val="00E755C4"/>
    <w:rsid w:val="00E756AC"/>
    <w:rsid w:val="00E77733"/>
    <w:rsid w:val="00E835E1"/>
    <w:rsid w:val="00E86809"/>
    <w:rsid w:val="00E86C35"/>
    <w:rsid w:val="00E91DFA"/>
    <w:rsid w:val="00E91F29"/>
    <w:rsid w:val="00E94F0D"/>
    <w:rsid w:val="00E95598"/>
    <w:rsid w:val="00E971B7"/>
    <w:rsid w:val="00E97E40"/>
    <w:rsid w:val="00EA197F"/>
    <w:rsid w:val="00EA267C"/>
    <w:rsid w:val="00EB12FF"/>
    <w:rsid w:val="00EB6D49"/>
    <w:rsid w:val="00EC1BE6"/>
    <w:rsid w:val="00ED1938"/>
    <w:rsid w:val="00ED1CD9"/>
    <w:rsid w:val="00ED2A5D"/>
    <w:rsid w:val="00ED35D7"/>
    <w:rsid w:val="00ED4607"/>
    <w:rsid w:val="00ED5CBB"/>
    <w:rsid w:val="00ED71C0"/>
    <w:rsid w:val="00EE06C7"/>
    <w:rsid w:val="00EE6EB6"/>
    <w:rsid w:val="00F01B19"/>
    <w:rsid w:val="00F14BD6"/>
    <w:rsid w:val="00F14FAB"/>
    <w:rsid w:val="00F1686E"/>
    <w:rsid w:val="00F2614C"/>
    <w:rsid w:val="00F311D9"/>
    <w:rsid w:val="00F329FC"/>
    <w:rsid w:val="00F3322B"/>
    <w:rsid w:val="00F44F22"/>
    <w:rsid w:val="00F51AE0"/>
    <w:rsid w:val="00F53855"/>
    <w:rsid w:val="00F54861"/>
    <w:rsid w:val="00F55B68"/>
    <w:rsid w:val="00F622A2"/>
    <w:rsid w:val="00F662D5"/>
    <w:rsid w:val="00F750E4"/>
    <w:rsid w:val="00F87D34"/>
    <w:rsid w:val="00FA04D1"/>
    <w:rsid w:val="00FA1CE6"/>
    <w:rsid w:val="00FA26D7"/>
    <w:rsid w:val="00FA56F6"/>
    <w:rsid w:val="00FA6CB1"/>
    <w:rsid w:val="00FA744A"/>
    <w:rsid w:val="00FB696B"/>
    <w:rsid w:val="00FC0131"/>
    <w:rsid w:val="00FC1397"/>
    <w:rsid w:val="00FC3A8B"/>
    <w:rsid w:val="00FE2B44"/>
    <w:rsid w:val="00FE2D35"/>
    <w:rsid w:val="00FE578D"/>
    <w:rsid w:val="00FE5AE0"/>
    <w:rsid w:val="00FF2887"/>
    <w:rsid w:val="00FF2F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37C3695"/>
  <w15:docId w15:val="{570573CD-D846-4958-B09D-4F4FAC25D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2679F"/>
    <w:pPr>
      <w:spacing w:after="0" w:line="240" w:lineRule="auto"/>
    </w:pPr>
    <w:rPr>
      <w:rFonts w:ascii="Arial" w:eastAsia="Times New Roman" w:hAnsi="Arial" w:cs="Arial"/>
      <w:sz w:val="20"/>
      <w:szCs w:val="24"/>
    </w:rPr>
  </w:style>
  <w:style w:type="paragraph" w:styleId="Overskrift1">
    <w:name w:val="heading 1"/>
    <w:basedOn w:val="Normal"/>
    <w:next w:val="Normal"/>
    <w:link w:val="Overskrift1Tegn"/>
    <w:uiPriority w:val="9"/>
    <w:qFormat/>
    <w:rsid w:val="0068012F"/>
    <w:pPr>
      <w:numPr>
        <w:numId w:val="1"/>
      </w:numPr>
      <w:spacing w:before="240" w:after="240"/>
      <w:ind w:left="0" w:hanging="567"/>
      <w:jc w:val="both"/>
      <w:outlineLvl w:val="0"/>
    </w:pPr>
    <w:rPr>
      <w:b/>
      <w:caps/>
      <w:sz w:val="24"/>
    </w:rPr>
  </w:style>
  <w:style w:type="paragraph" w:styleId="Overskrift2">
    <w:name w:val="heading 2"/>
    <w:basedOn w:val="Overskrift1"/>
    <w:next w:val="Normal"/>
    <w:link w:val="Overskrift2Tegn"/>
    <w:uiPriority w:val="9"/>
    <w:unhideWhenUsed/>
    <w:qFormat/>
    <w:rsid w:val="0068012F"/>
    <w:pPr>
      <w:numPr>
        <w:ilvl w:val="1"/>
        <w:numId w:val="7"/>
      </w:numPr>
      <w:ind w:left="0" w:hanging="567"/>
      <w:outlineLvl w:val="1"/>
    </w:pPr>
    <w:rPr>
      <w:caps w:val="0"/>
    </w:rPr>
  </w:style>
  <w:style w:type="paragraph" w:styleId="Overskrift3">
    <w:name w:val="heading 3"/>
    <w:basedOn w:val="Normal"/>
    <w:next w:val="Normal"/>
    <w:link w:val="Overskrift3Tegn"/>
    <w:uiPriority w:val="9"/>
    <w:semiHidden/>
    <w:unhideWhenUsed/>
    <w:rsid w:val="009727F9"/>
    <w:pPr>
      <w:keepNext/>
      <w:keepLines/>
      <w:spacing w:before="40"/>
      <w:outlineLvl w:val="2"/>
    </w:pPr>
    <w:rPr>
      <w:rFonts w:asciiTheme="majorHAnsi" w:eastAsiaTheme="majorEastAsia" w:hAnsiTheme="majorHAnsi" w:cstheme="majorBidi"/>
      <w:color w:val="243F60" w:themeColor="accent1" w:themeShade="7F"/>
      <w:sz w:val="24"/>
    </w:rPr>
  </w:style>
  <w:style w:type="paragraph" w:styleId="Overskrift4">
    <w:name w:val="heading 4"/>
    <w:basedOn w:val="Normal"/>
    <w:next w:val="Normal"/>
    <w:link w:val="Overskrift4Tegn"/>
    <w:uiPriority w:val="9"/>
    <w:semiHidden/>
    <w:unhideWhenUsed/>
    <w:qFormat/>
    <w:rsid w:val="009727F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Redcentaur1">
    <w:name w:val="Redcentaur1"/>
    <w:basedOn w:val="Vanligtabell"/>
    <w:uiPriority w:val="99"/>
    <w:rsid w:val="00E95598"/>
    <w:pPr>
      <w:spacing w:after="0" w:line="240" w:lineRule="auto"/>
    </w:pPr>
    <w:tblPr/>
  </w:style>
  <w:style w:type="character" w:styleId="Merknadsreferanse">
    <w:name w:val="annotation reference"/>
    <w:basedOn w:val="Standardskriftforavsnitt"/>
    <w:uiPriority w:val="99"/>
    <w:semiHidden/>
    <w:unhideWhenUsed/>
    <w:rsid w:val="00C2679F"/>
    <w:rPr>
      <w:sz w:val="16"/>
      <w:szCs w:val="16"/>
    </w:rPr>
  </w:style>
  <w:style w:type="paragraph" w:styleId="Merknadstekst">
    <w:name w:val="annotation text"/>
    <w:basedOn w:val="Normal"/>
    <w:link w:val="MerknadstekstTegn"/>
    <w:unhideWhenUsed/>
    <w:rsid w:val="00C2679F"/>
    <w:rPr>
      <w:szCs w:val="20"/>
    </w:rPr>
  </w:style>
  <w:style w:type="character" w:customStyle="1" w:styleId="MerknadstekstTegn">
    <w:name w:val="Merknadstekst Tegn"/>
    <w:basedOn w:val="Standardskriftforavsnitt"/>
    <w:link w:val="Merknadstekst"/>
    <w:uiPriority w:val="99"/>
    <w:semiHidden/>
    <w:rsid w:val="00C2679F"/>
    <w:rPr>
      <w:rFonts w:ascii="Arial" w:eastAsia="Times New Roman" w:hAnsi="Arial" w:cs="Arial"/>
      <w:sz w:val="20"/>
      <w:szCs w:val="20"/>
    </w:rPr>
  </w:style>
  <w:style w:type="paragraph" w:styleId="Bobletekst">
    <w:name w:val="Balloon Text"/>
    <w:basedOn w:val="Normal"/>
    <w:link w:val="BobletekstTegn"/>
    <w:uiPriority w:val="99"/>
    <w:semiHidden/>
    <w:unhideWhenUsed/>
    <w:rsid w:val="00C2679F"/>
    <w:rPr>
      <w:rFonts w:ascii="Tahoma" w:hAnsi="Tahoma" w:cs="Tahoma"/>
      <w:sz w:val="16"/>
      <w:szCs w:val="16"/>
    </w:rPr>
  </w:style>
  <w:style w:type="character" w:customStyle="1" w:styleId="BobletekstTegn">
    <w:name w:val="Bobletekst Tegn"/>
    <w:basedOn w:val="Standardskriftforavsnitt"/>
    <w:link w:val="Bobletekst"/>
    <w:uiPriority w:val="99"/>
    <w:semiHidden/>
    <w:rsid w:val="00C2679F"/>
    <w:rPr>
      <w:rFonts w:ascii="Tahoma" w:eastAsia="Times New Roman" w:hAnsi="Tahoma" w:cs="Tahoma"/>
      <w:sz w:val="16"/>
      <w:szCs w:val="16"/>
    </w:rPr>
  </w:style>
  <w:style w:type="paragraph" w:styleId="Tittel">
    <w:name w:val="Title"/>
    <w:basedOn w:val="Normal"/>
    <w:next w:val="Normal"/>
    <w:link w:val="TittelTegn"/>
    <w:uiPriority w:val="10"/>
    <w:qFormat/>
    <w:rsid w:val="00C2679F"/>
    <w:pPr>
      <w:spacing w:after="240"/>
      <w:jc w:val="center"/>
    </w:pPr>
    <w:rPr>
      <w:b/>
      <w:caps/>
      <w:sz w:val="24"/>
      <w:szCs w:val="22"/>
    </w:rPr>
  </w:style>
  <w:style w:type="character" w:customStyle="1" w:styleId="TittelTegn">
    <w:name w:val="Tittel Tegn"/>
    <w:basedOn w:val="Standardskriftforavsnitt"/>
    <w:link w:val="Tittel"/>
    <w:uiPriority w:val="10"/>
    <w:rsid w:val="00C2679F"/>
    <w:rPr>
      <w:rFonts w:ascii="Arial" w:eastAsia="Times New Roman" w:hAnsi="Arial" w:cs="Arial"/>
      <w:b/>
      <w:caps/>
      <w:sz w:val="24"/>
    </w:rPr>
  </w:style>
  <w:style w:type="paragraph" w:customStyle="1" w:styleId="AuthorsName">
    <w:name w:val="Author's Name"/>
    <w:basedOn w:val="Normal"/>
    <w:link w:val="AuthorsNameChar"/>
    <w:qFormat/>
    <w:rsid w:val="00C2679F"/>
    <w:pPr>
      <w:jc w:val="center"/>
    </w:pPr>
    <w:rPr>
      <w:rFonts w:ascii="Calibri" w:hAnsi="Calibri"/>
      <w:sz w:val="22"/>
      <w:szCs w:val="22"/>
    </w:rPr>
  </w:style>
  <w:style w:type="character" w:customStyle="1" w:styleId="Overskrift1Tegn">
    <w:name w:val="Overskrift 1 Tegn"/>
    <w:basedOn w:val="Standardskriftforavsnitt"/>
    <w:link w:val="Overskrift1"/>
    <w:uiPriority w:val="9"/>
    <w:rsid w:val="0068012F"/>
    <w:rPr>
      <w:rFonts w:ascii="Arial" w:eastAsia="Times New Roman" w:hAnsi="Arial" w:cs="Arial"/>
      <w:b/>
      <w:caps/>
      <w:sz w:val="24"/>
      <w:szCs w:val="24"/>
    </w:rPr>
  </w:style>
  <w:style w:type="character" w:customStyle="1" w:styleId="AuthorsNameChar">
    <w:name w:val="Author's Name Char"/>
    <w:basedOn w:val="Standardskriftforavsnitt"/>
    <w:link w:val="AuthorsName"/>
    <w:rsid w:val="00C2679F"/>
    <w:rPr>
      <w:rFonts w:ascii="Calibri" w:eastAsia="Times New Roman" w:hAnsi="Calibri" w:cs="Arial"/>
    </w:rPr>
  </w:style>
  <w:style w:type="paragraph" w:customStyle="1" w:styleId="Text">
    <w:name w:val="Text"/>
    <w:basedOn w:val="Normal"/>
    <w:link w:val="TextChar"/>
    <w:qFormat/>
    <w:rsid w:val="0068012F"/>
    <w:pPr>
      <w:spacing w:after="240" w:line="300" w:lineRule="auto"/>
      <w:jc w:val="both"/>
    </w:pPr>
    <w:rPr>
      <w:sz w:val="24"/>
    </w:rPr>
  </w:style>
  <w:style w:type="paragraph" w:customStyle="1" w:styleId="Subheading">
    <w:name w:val="Subheading"/>
    <w:basedOn w:val="Normal"/>
    <w:link w:val="SubheadingChar"/>
    <w:qFormat/>
    <w:rsid w:val="0068012F"/>
    <w:pPr>
      <w:keepNext/>
      <w:spacing w:before="480" w:after="240"/>
      <w:jc w:val="both"/>
    </w:pPr>
    <w:rPr>
      <w:b/>
      <w:caps/>
      <w:sz w:val="24"/>
    </w:rPr>
  </w:style>
  <w:style w:type="character" w:customStyle="1" w:styleId="TextChar">
    <w:name w:val="Text Char"/>
    <w:basedOn w:val="Standardskriftforavsnitt"/>
    <w:link w:val="Text"/>
    <w:rsid w:val="0068012F"/>
    <w:rPr>
      <w:rFonts w:ascii="Arial" w:eastAsia="Times New Roman" w:hAnsi="Arial" w:cs="Arial"/>
      <w:sz w:val="24"/>
      <w:szCs w:val="24"/>
    </w:rPr>
  </w:style>
  <w:style w:type="paragraph" w:customStyle="1" w:styleId="Numbernotes">
    <w:name w:val="Number notes"/>
    <w:basedOn w:val="Normal"/>
    <w:link w:val="NumbernotesChar"/>
    <w:qFormat/>
    <w:rsid w:val="00B40089"/>
    <w:rPr>
      <w:sz w:val="18"/>
      <w:szCs w:val="18"/>
      <w:vertAlign w:val="superscript"/>
    </w:rPr>
  </w:style>
  <w:style w:type="character" w:customStyle="1" w:styleId="SubheadingChar">
    <w:name w:val="Subheading Char"/>
    <w:basedOn w:val="Standardskriftforavsnitt"/>
    <w:link w:val="Subheading"/>
    <w:rsid w:val="0068012F"/>
    <w:rPr>
      <w:rFonts w:ascii="Arial" w:eastAsia="Times New Roman" w:hAnsi="Arial" w:cs="Arial"/>
      <w:b/>
      <w:caps/>
      <w:sz w:val="24"/>
      <w:szCs w:val="24"/>
    </w:rPr>
  </w:style>
  <w:style w:type="paragraph" w:customStyle="1" w:styleId="Bibliographyreferences">
    <w:name w:val="Bibliography references"/>
    <w:basedOn w:val="Normal"/>
    <w:link w:val="BibliographyreferencesChar"/>
    <w:qFormat/>
    <w:rsid w:val="00B40089"/>
    <w:pPr>
      <w:spacing w:after="240"/>
      <w:jc w:val="both"/>
    </w:pPr>
    <w:rPr>
      <w:sz w:val="24"/>
    </w:rPr>
  </w:style>
  <w:style w:type="character" w:customStyle="1" w:styleId="NumbernotesChar">
    <w:name w:val="Number notes Char"/>
    <w:basedOn w:val="Standardskriftforavsnitt"/>
    <w:link w:val="Numbernotes"/>
    <w:rsid w:val="00B40089"/>
    <w:rPr>
      <w:rFonts w:ascii="Arial" w:eastAsia="Times New Roman" w:hAnsi="Arial" w:cs="Arial"/>
      <w:sz w:val="18"/>
      <w:szCs w:val="18"/>
      <w:vertAlign w:val="superscript"/>
    </w:rPr>
  </w:style>
  <w:style w:type="character" w:customStyle="1" w:styleId="Overskrift2Tegn">
    <w:name w:val="Overskrift 2 Tegn"/>
    <w:basedOn w:val="Standardskriftforavsnitt"/>
    <w:link w:val="Overskrift2"/>
    <w:uiPriority w:val="9"/>
    <w:rsid w:val="0068012F"/>
    <w:rPr>
      <w:rFonts w:ascii="Arial" w:eastAsia="Times New Roman" w:hAnsi="Arial" w:cs="Arial"/>
      <w:b/>
      <w:sz w:val="24"/>
      <w:szCs w:val="24"/>
    </w:rPr>
  </w:style>
  <w:style w:type="character" w:customStyle="1" w:styleId="BibliographyreferencesChar">
    <w:name w:val="Bibliography references Char"/>
    <w:basedOn w:val="Standardskriftforavsnitt"/>
    <w:link w:val="Bibliographyreferences"/>
    <w:rsid w:val="00B40089"/>
    <w:rPr>
      <w:rFonts w:ascii="Arial" w:eastAsia="Times New Roman" w:hAnsi="Arial" w:cs="Arial"/>
      <w:sz w:val="24"/>
      <w:szCs w:val="24"/>
    </w:rPr>
  </w:style>
  <w:style w:type="paragraph" w:styleId="Topptekst">
    <w:name w:val="header"/>
    <w:basedOn w:val="Normal"/>
    <w:link w:val="TopptekstTegn"/>
    <w:uiPriority w:val="99"/>
    <w:unhideWhenUsed/>
    <w:rsid w:val="005A55EB"/>
    <w:pPr>
      <w:tabs>
        <w:tab w:val="center" w:pos="4513"/>
        <w:tab w:val="right" w:pos="9026"/>
      </w:tabs>
    </w:pPr>
  </w:style>
  <w:style w:type="character" w:customStyle="1" w:styleId="TopptekstTegn">
    <w:name w:val="Topptekst Tegn"/>
    <w:basedOn w:val="Standardskriftforavsnitt"/>
    <w:link w:val="Topptekst"/>
    <w:uiPriority w:val="99"/>
    <w:rsid w:val="005A55EB"/>
    <w:rPr>
      <w:rFonts w:ascii="Arial" w:eastAsia="Times New Roman" w:hAnsi="Arial" w:cs="Arial"/>
      <w:sz w:val="20"/>
      <w:szCs w:val="24"/>
    </w:rPr>
  </w:style>
  <w:style w:type="paragraph" w:styleId="Bunntekst">
    <w:name w:val="footer"/>
    <w:basedOn w:val="Normal"/>
    <w:link w:val="BunntekstTegn"/>
    <w:uiPriority w:val="99"/>
    <w:unhideWhenUsed/>
    <w:rsid w:val="005A55EB"/>
    <w:pPr>
      <w:tabs>
        <w:tab w:val="center" w:pos="4513"/>
        <w:tab w:val="right" w:pos="9026"/>
      </w:tabs>
    </w:pPr>
  </w:style>
  <w:style w:type="character" w:customStyle="1" w:styleId="BunntekstTegn">
    <w:name w:val="Bunntekst Tegn"/>
    <w:basedOn w:val="Standardskriftforavsnitt"/>
    <w:link w:val="Bunntekst"/>
    <w:uiPriority w:val="99"/>
    <w:rsid w:val="005A55EB"/>
    <w:rPr>
      <w:rFonts w:ascii="Arial" w:eastAsia="Times New Roman" w:hAnsi="Arial" w:cs="Arial"/>
      <w:sz w:val="20"/>
      <w:szCs w:val="24"/>
    </w:rPr>
  </w:style>
  <w:style w:type="paragraph" w:customStyle="1" w:styleId="PageNumber1">
    <w:name w:val="Page Number1"/>
    <w:basedOn w:val="Bunntekst"/>
    <w:link w:val="PagenumberChar"/>
    <w:qFormat/>
    <w:rsid w:val="005A55EB"/>
    <w:pPr>
      <w:jc w:val="center"/>
    </w:pPr>
    <w:rPr>
      <w:sz w:val="24"/>
    </w:rPr>
  </w:style>
  <w:style w:type="paragraph" w:customStyle="1" w:styleId="copyright">
    <w:name w:val="copyright"/>
    <w:basedOn w:val="PageNumber1"/>
    <w:link w:val="copyrightChar"/>
    <w:qFormat/>
    <w:rsid w:val="005A55EB"/>
    <w:pPr>
      <w:jc w:val="left"/>
    </w:pPr>
    <w:rPr>
      <w:sz w:val="20"/>
      <w:szCs w:val="20"/>
    </w:rPr>
  </w:style>
  <w:style w:type="character" w:customStyle="1" w:styleId="PagenumberChar">
    <w:name w:val="Page number Char"/>
    <w:basedOn w:val="BunntekstTegn"/>
    <w:link w:val="PageNumber1"/>
    <w:rsid w:val="005A55EB"/>
    <w:rPr>
      <w:rFonts w:ascii="Arial" w:eastAsia="Times New Roman" w:hAnsi="Arial" w:cs="Arial"/>
      <w:sz w:val="24"/>
      <w:szCs w:val="24"/>
    </w:rPr>
  </w:style>
  <w:style w:type="character" w:styleId="Utheving">
    <w:name w:val="Emphasis"/>
    <w:basedOn w:val="Standardskriftforavsnitt"/>
    <w:uiPriority w:val="20"/>
    <w:qFormat/>
    <w:rsid w:val="005A55EB"/>
    <w:rPr>
      <w:i/>
      <w:iCs/>
    </w:rPr>
  </w:style>
  <w:style w:type="character" w:customStyle="1" w:styleId="copyrightChar">
    <w:name w:val="copyright Char"/>
    <w:basedOn w:val="PagenumberChar"/>
    <w:link w:val="copyright"/>
    <w:rsid w:val="005A55EB"/>
    <w:rPr>
      <w:rFonts w:ascii="Arial" w:eastAsia="Times New Roman" w:hAnsi="Arial" w:cs="Arial"/>
      <w:sz w:val="20"/>
      <w:szCs w:val="20"/>
    </w:rPr>
  </w:style>
  <w:style w:type="character" w:styleId="Sterk">
    <w:name w:val="Strong"/>
    <w:basedOn w:val="Standardskriftforavsnitt"/>
    <w:uiPriority w:val="22"/>
    <w:qFormat/>
    <w:rsid w:val="005A55EB"/>
    <w:rPr>
      <w:b/>
      <w:bCs/>
    </w:rPr>
  </w:style>
  <w:style w:type="paragraph" w:styleId="Listeavsnitt">
    <w:name w:val="List Paragraph"/>
    <w:basedOn w:val="Normal"/>
    <w:uiPriority w:val="34"/>
    <w:qFormat/>
    <w:rsid w:val="005C3C85"/>
    <w:pPr>
      <w:numPr>
        <w:numId w:val="9"/>
      </w:numPr>
      <w:spacing w:after="120" w:line="288" w:lineRule="auto"/>
      <w:ind w:left="0" w:hanging="284"/>
    </w:pPr>
    <w:rPr>
      <w:sz w:val="24"/>
    </w:rPr>
  </w:style>
  <w:style w:type="table" w:styleId="Enkelttabell1">
    <w:name w:val="Table Simple 1"/>
    <w:basedOn w:val="Vanligtabell"/>
    <w:rsid w:val="005B375B"/>
    <w:pPr>
      <w:spacing w:after="120" w:line="240" w:lineRule="auto"/>
    </w:pPr>
    <w:rPr>
      <w:rFonts w:ascii="Arial" w:eastAsia="Times New Roman" w:hAnsi="Arial" w:cs="Times New Roman"/>
      <w:sz w:val="18"/>
      <w:szCs w:val="20"/>
      <w:lang w:val="nb-NO" w:eastAsia="nb-NO"/>
    </w:rPr>
    <w:tblPr>
      <w:tblBorders>
        <w:top w:val="single" w:sz="12" w:space="0" w:color="auto"/>
        <w:bottom w:val="single" w:sz="12" w:space="0" w:color="auto"/>
      </w:tblBorders>
    </w:tblPr>
    <w:tcPr>
      <w:shd w:val="clear" w:color="auto" w:fill="auto"/>
    </w:tcPr>
    <w:tblStylePr w:type="firstRow">
      <w:tblPr/>
      <w:tcPr>
        <w:tcBorders>
          <w:bottom w:val="single" w:sz="4" w:space="0" w:color="auto"/>
        </w:tcBorders>
        <w:shd w:val="clear" w:color="auto" w:fill="auto"/>
      </w:tcPr>
    </w:tblStylePr>
    <w:tblStylePr w:type="lastRow">
      <w:tblPr/>
      <w:tcPr>
        <w:tcBorders>
          <w:top w:val="single" w:sz="4" w:space="0" w:color="auto"/>
        </w:tcBorders>
        <w:shd w:val="clear" w:color="auto" w:fill="auto"/>
      </w:tcPr>
    </w:tblStylePr>
  </w:style>
  <w:style w:type="paragraph" w:styleId="Bildetekst">
    <w:name w:val="caption"/>
    <w:aliases w:val="Tegn, Tegn"/>
    <w:basedOn w:val="Normal"/>
    <w:next w:val="Normal"/>
    <w:link w:val="BildetekstTegn"/>
    <w:unhideWhenUsed/>
    <w:qFormat/>
    <w:rsid w:val="008C0DE7"/>
    <w:pPr>
      <w:spacing w:after="40"/>
    </w:pPr>
    <w:rPr>
      <w:rFonts w:ascii="Garamond" w:hAnsi="Garamond" w:cs="Times New Roman"/>
      <w:bCs/>
      <w:i/>
      <w:sz w:val="22"/>
      <w:szCs w:val="18"/>
      <w:lang w:val="nb-NO" w:eastAsia="nb-NO"/>
    </w:rPr>
  </w:style>
  <w:style w:type="character" w:customStyle="1" w:styleId="Overskrift3Tegn">
    <w:name w:val="Overskrift 3 Tegn"/>
    <w:basedOn w:val="Standardskriftforavsnitt"/>
    <w:link w:val="Overskrift3"/>
    <w:uiPriority w:val="9"/>
    <w:semiHidden/>
    <w:rsid w:val="009727F9"/>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foravsnitt"/>
    <w:link w:val="Overskrift4"/>
    <w:uiPriority w:val="9"/>
    <w:semiHidden/>
    <w:rsid w:val="009727F9"/>
    <w:rPr>
      <w:rFonts w:asciiTheme="majorHAnsi" w:eastAsiaTheme="majorEastAsia" w:hAnsiTheme="majorHAnsi" w:cstheme="majorBidi"/>
      <w:i/>
      <w:iCs/>
      <w:color w:val="365F91" w:themeColor="accent1" w:themeShade="BF"/>
      <w:sz w:val="20"/>
      <w:szCs w:val="24"/>
    </w:rPr>
  </w:style>
  <w:style w:type="table" w:styleId="Tabellrutenett">
    <w:name w:val="Table Grid"/>
    <w:basedOn w:val="Vanligtabell"/>
    <w:rsid w:val="009727F9"/>
    <w:pPr>
      <w:spacing w:after="0" w:line="240" w:lineRule="auto"/>
    </w:pPr>
    <w:rPr>
      <w:rFonts w:ascii="Times New Roman" w:eastAsia="Times New Roman" w:hAnsi="Times New Roman" w:cs="Times New Roman"/>
      <w:sz w:val="20"/>
      <w:szCs w:val="20"/>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nhideWhenUsed/>
    <w:rsid w:val="009727F9"/>
    <w:rPr>
      <w:color w:val="0000FF" w:themeColor="hyperlink"/>
      <w:u w:val="single"/>
    </w:rPr>
  </w:style>
  <w:style w:type="character" w:customStyle="1" w:styleId="navigering3">
    <w:name w:val="navigering3"/>
    <w:basedOn w:val="Standardskriftforavsnitt"/>
    <w:rsid w:val="009727F9"/>
  </w:style>
  <w:style w:type="character" w:styleId="Fotnotereferanse">
    <w:name w:val="footnote reference"/>
    <w:basedOn w:val="Standardskriftforavsnitt"/>
    <w:semiHidden/>
    <w:rsid w:val="009727F9"/>
    <w:rPr>
      <w:position w:val="6"/>
      <w:sz w:val="16"/>
    </w:rPr>
  </w:style>
  <w:style w:type="paragraph" w:styleId="Fotnotetekst">
    <w:name w:val="footnote text"/>
    <w:basedOn w:val="Normal"/>
    <w:link w:val="FotnotetekstTegn"/>
    <w:semiHidden/>
    <w:rsid w:val="009727F9"/>
    <w:rPr>
      <w:rFonts w:ascii="Garamond" w:hAnsi="Garamond" w:cs="Times New Roman"/>
      <w:szCs w:val="20"/>
      <w:lang w:val="nb-NO" w:eastAsia="nb-NO"/>
    </w:rPr>
  </w:style>
  <w:style w:type="character" w:customStyle="1" w:styleId="FotnotetekstTegn">
    <w:name w:val="Fotnotetekst Tegn"/>
    <w:basedOn w:val="Standardskriftforavsnitt"/>
    <w:link w:val="Fotnotetekst"/>
    <w:semiHidden/>
    <w:rsid w:val="009727F9"/>
    <w:rPr>
      <w:rFonts w:ascii="Garamond" w:eastAsia="Times New Roman" w:hAnsi="Garamond" w:cs="Times New Roman"/>
      <w:sz w:val="20"/>
      <w:szCs w:val="20"/>
      <w:lang w:val="nb-NO" w:eastAsia="nb-NO"/>
    </w:rPr>
  </w:style>
  <w:style w:type="character" w:customStyle="1" w:styleId="foreign">
    <w:name w:val="foreign"/>
    <w:basedOn w:val="Standardskriftforavsnitt"/>
    <w:rsid w:val="00E97E40"/>
    <w:rPr>
      <w:i/>
      <w:iCs/>
    </w:rPr>
  </w:style>
  <w:style w:type="paragraph" w:customStyle="1" w:styleId="bunntekstoddetall">
    <w:name w:val="bunntekstoddetall"/>
    <w:basedOn w:val="Bunntekst"/>
    <w:rsid w:val="00B23D40"/>
    <w:pPr>
      <w:tabs>
        <w:tab w:val="clear" w:pos="4513"/>
        <w:tab w:val="clear" w:pos="9026"/>
        <w:tab w:val="right" w:pos="8505"/>
      </w:tabs>
      <w:spacing w:before="120"/>
      <w:ind w:right="-567"/>
    </w:pPr>
    <w:rPr>
      <w:rFonts w:ascii="Garamond" w:hAnsi="Garamond" w:cs="Times New Roman"/>
      <w:sz w:val="16"/>
      <w:szCs w:val="20"/>
      <w:lang w:val="nb-NO" w:eastAsia="nb-NO"/>
    </w:rPr>
  </w:style>
  <w:style w:type="paragraph" w:customStyle="1" w:styleId="bunntekstpartall">
    <w:name w:val="bunntekstpartall"/>
    <w:basedOn w:val="Normal"/>
    <w:rsid w:val="00B23D40"/>
    <w:pPr>
      <w:tabs>
        <w:tab w:val="right" w:pos="7938"/>
      </w:tabs>
      <w:spacing w:before="120"/>
      <w:ind w:left="-567"/>
    </w:pPr>
    <w:rPr>
      <w:rFonts w:ascii="Garamond" w:hAnsi="Garamond" w:cs="Times New Roman"/>
      <w:sz w:val="16"/>
      <w:szCs w:val="20"/>
      <w:lang w:val="nb-NO" w:eastAsia="nb-NO"/>
    </w:rPr>
  </w:style>
  <w:style w:type="character" w:styleId="Sidetall">
    <w:name w:val="page number"/>
    <w:basedOn w:val="Standardskriftforavsnitt"/>
    <w:rsid w:val="00B23D40"/>
    <w:rPr>
      <w:sz w:val="24"/>
    </w:rPr>
  </w:style>
  <w:style w:type="character" w:styleId="Boktittel">
    <w:name w:val="Book Title"/>
    <w:basedOn w:val="Standardskriftforavsnitt"/>
    <w:uiPriority w:val="33"/>
    <w:rsid w:val="00B23D40"/>
    <w:rPr>
      <w:b/>
      <w:bCs/>
      <w:smallCaps/>
      <w:spacing w:val="5"/>
    </w:rPr>
  </w:style>
  <w:style w:type="character" w:customStyle="1" w:styleId="MerknadstekstTegn1">
    <w:name w:val="Merknadstekst Tegn1"/>
    <w:basedOn w:val="Standardskriftforavsnitt"/>
    <w:rsid w:val="00B23D40"/>
    <w:rPr>
      <w:rFonts w:ascii="Garamond" w:hAnsi="Garamond"/>
    </w:rPr>
  </w:style>
  <w:style w:type="character" w:styleId="Svakutheving">
    <w:name w:val="Subtle Emphasis"/>
    <w:basedOn w:val="Standardskriftforavsnitt"/>
    <w:uiPriority w:val="19"/>
    <w:qFormat/>
    <w:rsid w:val="00B23D40"/>
    <w:rPr>
      <w:i/>
      <w:iCs/>
      <w:color w:val="404040" w:themeColor="text1" w:themeTint="BF"/>
    </w:rPr>
  </w:style>
  <w:style w:type="character" w:customStyle="1" w:styleId="BildetekstTegn">
    <w:name w:val="Bildetekst Tegn"/>
    <w:aliases w:val="Tegn Tegn, Tegn Tegn"/>
    <w:basedOn w:val="Standardskriftforavsnitt"/>
    <w:link w:val="Bildetekst"/>
    <w:rsid w:val="00113AD1"/>
    <w:rPr>
      <w:rFonts w:ascii="Garamond" w:eastAsia="Times New Roman" w:hAnsi="Garamond" w:cs="Times New Roman"/>
      <w:bCs/>
      <w:i/>
      <w:szCs w:val="18"/>
      <w:lang w:val="nb-NO" w:eastAsia="nb-NO"/>
    </w:rPr>
  </w:style>
  <w:style w:type="paragraph" w:styleId="Kommentaremne">
    <w:name w:val="annotation subject"/>
    <w:basedOn w:val="Merknadstekst"/>
    <w:next w:val="Merknadstekst"/>
    <w:link w:val="KommentaremneTegn"/>
    <w:uiPriority w:val="99"/>
    <w:semiHidden/>
    <w:unhideWhenUsed/>
    <w:rsid w:val="00BE1342"/>
    <w:rPr>
      <w:b/>
      <w:bCs/>
    </w:rPr>
  </w:style>
  <w:style w:type="character" w:customStyle="1" w:styleId="KommentaremneTegn">
    <w:name w:val="Kommentaremne Tegn"/>
    <w:basedOn w:val="MerknadstekstTegn"/>
    <w:link w:val="Kommentaremne"/>
    <w:uiPriority w:val="99"/>
    <w:semiHidden/>
    <w:rsid w:val="00BE1342"/>
    <w:rPr>
      <w:rFonts w:ascii="Arial" w:eastAsia="Times New Roman" w:hAnsi="Arial" w:cs="Arial"/>
      <w:b/>
      <w:bCs/>
      <w:sz w:val="20"/>
      <w:szCs w:val="20"/>
    </w:rPr>
  </w:style>
  <w:style w:type="paragraph" w:styleId="Revisjon">
    <w:name w:val="Revision"/>
    <w:hidden/>
    <w:uiPriority w:val="99"/>
    <w:semiHidden/>
    <w:rsid w:val="00FA04D1"/>
    <w:pPr>
      <w:spacing w:after="0" w:line="240" w:lineRule="auto"/>
    </w:pPr>
    <w:rPr>
      <w:rFonts w:ascii="Arial" w:eastAsia="Times New Roman" w:hAnsi="Arial" w:cs="Arial"/>
      <w:sz w:val="20"/>
      <w:szCs w:val="24"/>
    </w:rPr>
  </w:style>
  <w:style w:type="paragraph" w:styleId="Brdtekst">
    <w:name w:val="Body Text"/>
    <w:basedOn w:val="Normal"/>
    <w:link w:val="BrdtekstTegn"/>
    <w:unhideWhenUsed/>
    <w:rsid w:val="009D217F"/>
    <w:pPr>
      <w:spacing w:after="120"/>
    </w:pPr>
    <w:rPr>
      <w:rFonts w:ascii="Garamond" w:hAnsi="Garamond" w:cs="Times New Roman"/>
      <w:sz w:val="24"/>
      <w:szCs w:val="20"/>
      <w:lang w:val="nb-NO" w:eastAsia="nb-NO"/>
    </w:rPr>
  </w:style>
  <w:style w:type="character" w:customStyle="1" w:styleId="BrdtekstTegn">
    <w:name w:val="Brødtekst Tegn"/>
    <w:basedOn w:val="Standardskriftforavsnitt"/>
    <w:link w:val="Brdtekst"/>
    <w:rsid w:val="009D217F"/>
    <w:rPr>
      <w:rFonts w:ascii="Garamond" w:eastAsia="Times New Roman" w:hAnsi="Garamond" w:cs="Times New Roman"/>
      <w:sz w:val="24"/>
      <w:szCs w:val="20"/>
      <w:lang w:val="nb-NO" w:eastAsia="nb-NO"/>
    </w:rPr>
  </w:style>
  <w:style w:type="character" w:customStyle="1" w:styleId="articlecitationyear">
    <w:name w:val="articlecitation_year"/>
    <w:basedOn w:val="Standardskriftforavsnitt"/>
    <w:rsid w:val="002F42AE"/>
  </w:style>
  <w:style w:type="character" w:customStyle="1" w:styleId="articlecitationvolume">
    <w:name w:val="articlecitation_volume"/>
    <w:basedOn w:val="Standardskriftforavsnitt"/>
    <w:rsid w:val="002F42AE"/>
  </w:style>
  <w:style w:type="paragraph" w:styleId="NormalWeb">
    <w:name w:val="Normal (Web)"/>
    <w:basedOn w:val="Normal"/>
    <w:uiPriority w:val="99"/>
    <w:unhideWhenUsed/>
    <w:rsid w:val="001342B1"/>
    <w:pPr>
      <w:spacing w:before="100" w:beforeAutospacing="1" w:after="100" w:afterAutospacing="1"/>
    </w:pPr>
    <w:rPr>
      <w:rFonts w:ascii="Times New Roman" w:eastAsiaTheme="minorHAnsi" w:hAnsi="Times New Roman" w:cs="Times New Roman"/>
      <w:sz w:val="24"/>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645148">
      <w:bodyDiv w:val="1"/>
      <w:marLeft w:val="0"/>
      <w:marRight w:val="0"/>
      <w:marTop w:val="0"/>
      <w:marBottom w:val="0"/>
      <w:divBdr>
        <w:top w:val="none" w:sz="0" w:space="0" w:color="auto"/>
        <w:left w:val="none" w:sz="0" w:space="0" w:color="auto"/>
        <w:bottom w:val="none" w:sz="0" w:space="0" w:color="auto"/>
        <w:right w:val="none" w:sz="0" w:space="0" w:color="auto"/>
      </w:divBdr>
    </w:div>
    <w:div w:id="210869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hyperlink" Target="http://www.sciencedirect.com/science/journal/07398859/50/supp/C" TargetMode="External"/><Relationship Id="rId39" Type="http://schemas.openxmlformats.org/officeDocument/2006/relationships/fontTable" Target="fontTable.xml"/><Relationship Id="rId21" Type="http://schemas.openxmlformats.org/officeDocument/2006/relationships/chart" Target="charts/chart2.xml"/><Relationship Id="rId34" Type="http://schemas.openxmlformats.org/officeDocument/2006/relationships/hyperlink" Target="http://www.skatteetaten.no/en/Rates/Car-prices---list-prices-as-new/"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ec.europa.eu/clima/publications/docs/factsheet_ets_en.pdf" TargetMode="External"/><Relationship Id="rId33" Type="http://schemas.openxmlformats.org/officeDocument/2006/relationships/hyperlink" Target="http://www.ofvas.no/bilsalget/category404.html"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link.springer.com/article/10.1007%2Fs12544-015-017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lbil.no/dette-koster-hurtiglading/" TargetMode="External"/><Relationship Id="rId32" Type="http://schemas.openxmlformats.org/officeDocument/2006/relationships/hyperlink" Target="http://www.gronnbil.no"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hyperlink" Target="http://link.springer.com/journal/12544" TargetMode="External"/><Relationship Id="rId36" Type="http://schemas.openxmlformats.org/officeDocument/2006/relationships/hyperlink" Target="http://www.ssb.no/en/befolkning/artikler-og-publikasjoner/this-is-norway-2014"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hegnar.no/Nyheter/Naeringsliv/2016/01/3-ganger-saa-mange-elbiler-koster-146-millioner-kron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hyperlink" Target="http://dx.doi.org/10.1016/j.retrec.2015.06.004" TargetMode="External"/><Relationship Id="rId30" Type="http://schemas.openxmlformats.org/officeDocument/2006/relationships/hyperlink" Target="http://www.hegnar.no" TargetMode="External"/><Relationship Id="rId35" Type="http://schemas.openxmlformats.org/officeDocument/2006/relationships/hyperlink" Target="http://ssb.no/transport-og-reiseliv/statistikker/bilreg/aar"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4.gif"/><Relationship Id="rId1" Type="http://schemas.openxmlformats.org/officeDocument/2006/relationships/image" Target="media/image13.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aturn\users\efi\Elbilstatistikker%20og%20figurer\Elbilbestanden%20fra%201997.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saturn\felles\SM-AVD\3826%20Compett\WP4%20Regional%20Electromobility\COMPETT%20SPSS\EV%20owner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saturn\felles\SM-AVD\3826%20Compett\Articles\EFI-Diffusion\evs%20per%20charging%20station.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saturn\users\efi\Egne%20papere\Kopi%20av%20Nye%20personbiler%20desember%202010%20til%20november%202014.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'Ark1'!$A$16</c:f>
              <c:strCache>
                <c:ptCount val="1"/>
                <c:pt idx="0">
                  <c:v>Norway</c:v>
                </c:pt>
              </c:strCache>
            </c:strRef>
          </c:tx>
          <c:spPr>
            <a:ln w="28575" cap="rnd">
              <a:solidFill>
                <a:schemeClr val="accent1"/>
              </a:solidFill>
              <a:round/>
            </a:ln>
            <a:effectLst/>
          </c:spPr>
          <c:marker>
            <c:symbol val="none"/>
          </c:marker>
          <c:cat>
            <c:numRef>
              <c:f>'Ark1'!$B$1:$T$1</c:f>
              <c:numCache>
                <c:formatCode>General</c:formatCode>
                <c:ptCount val="19"/>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formatCode="0">
                  <c:v>2013</c:v>
                </c:pt>
                <c:pt idx="17">
                  <c:v>2014</c:v>
                </c:pt>
                <c:pt idx="18">
                  <c:v>2015</c:v>
                </c:pt>
              </c:numCache>
            </c:numRef>
          </c:cat>
          <c:val>
            <c:numRef>
              <c:f>'Ark1'!$B$16:$T$16</c:f>
              <c:numCache>
                <c:formatCode>General</c:formatCode>
                <c:ptCount val="19"/>
                <c:pt idx="0">
                  <c:v>147</c:v>
                </c:pt>
                <c:pt idx="1">
                  <c:v>187</c:v>
                </c:pt>
                <c:pt idx="2">
                  <c:v>285</c:v>
                </c:pt>
                <c:pt idx="3">
                  <c:v>468</c:v>
                </c:pt>
                <c:pt idx="4">
                  <c:v>625</c:v>
                </c:pt>
                <c:pt idx="5">
                  <c:v>871</c:v>
                </c:pt>
                <c:pt idx="6">
                  <c:v>1081</c:v>
                </c:pt>
                <c:pt idx="7">
                  <c:v>1183</c:v>
                </c:pt>
                <c:pt idx="8">
                  <c:v>1320</c:v>
                </c:pt>
                <c:pt idx="9">
                  <c:v>1656</c:v>
                </c:pt>
                <c:pt idx="10">
                  <c:v>1903</c:v>
                </c:pt>
                <c:pt idx="11">
                  <c:v>2424</c:v>
                </c:pt>
                <c:pt idx="12">
                  <c:v>2753</c:v>
                </c:pt>
                <c:pt idx="13">
                  <c:v>3360</c:v>
                </c:pt>
                <c:pt idx="14">
                  <c:v>5397</c:v>
                </c:pt>
                <c:pt idx="15">
                  <c:v>9581</c:v>
                </c:pt>
                <c:pt idx="16">
                  <c:v>19678</c:v>
                </c:pt>
                <c:pt idx="17" formatCode="0">
                  <c:v>42356</c:v>
                </c:pt>
                <c:pt idx="18">
                  <c:v>70000</c:v>
                </c:pt>
              </c:numCache>
            </c:numRef>
          </c:val>
          <c:smooth val="0"/>
          <c:extLst>
            <c:ext xmlns:c16="http://schemas.microsoft.com/office/drawing/2014/chart" uri="{C3380CC4-5D6E-409C-BE32-E72D297353CC}">
              <c16:uniqueId val="{00000000-D3D6-49CB-8A7B-6D80B60F29C3}"/>
            </c:ext>
          </c:extLst>
        </c:ser>
        <c:dLbls>
          <c:showLegendKey val="0"/>
          <c:showVal val="0"/>
          <c:showCatName val="0"/>
          <c:showSerName val="0"/>
          <c:showPercent val="0"/>
          <c:showBubbleSize val="0"/>
        </c:dLbls>
        <c:marker val="1"/>
        <c:smooth val="0"/>
        <c:axId val="455441600"/>
        <c:axId val="455441992"/>
      </c:lineChart>
      <c:lineChart>
        <c:grouping val="standard"/>
        <c:varyColors val="0"/>
        <c:ser>
          <c:idx val="1"/>
          <c:order val="1"/>
          <c:tx>
            <c:strRef>
              <c:f>'Ark1'!$A$22</c:f>
              <c:strCache>
                <c:ptCount val="1"/>
                <c:pt idx="0">
                  <c:v>Press coverage</c:v>
                </c:pt>
              </c:strCache>
            </c:strRef>
          </c:tx>
          <c:spPr>
            <a:ln w="28575" cap="rnd">
              <a:solidFill>
                <a:schemeClr val="accent2"/>
              </a:solidFill>
              <a:round/>
            </a:ln>
            <a:effectLst/>
          </c:spPr>
          <c:marker>
            <c:symbol val="none"/>
          </c:marker>
          <c:val>
            <c:numRef>
              <c:f>'Ark1'!$B$22:$T$22</c:f>
              <c:numCache>
                <c:formatCode>General</c:formatCode>
                <c:ptCount val="19"/>
                <c:pt idx="0">
                  <c:v>53</c:v>
                </c:pt>
                <c:pt idx="1">
                  <c:v>58</c:v>
                </c:pt>
                <c:pt idx="2">
                  <c:v>99</c:v>
                </c:pt>
                <c:pt idx="3">
                  <c:v>77</c:v>
                </c:pt>
                <c:pt idx="4">
                  <c:v>138</c:v>
                </c:pt>
                <c:pt idx="5">
                  <c:v>261</c:v>
                </c:pt>
                <c:pt idx="6">
                  <c:v>215</c:v>
                </c:pt>
                <c:pt idx="7">
                  <c:v>423</c:v>
                </c:pt>
                <c:pt idx="8">
                  <c:v>281</c:v>
                </c:pt>
                <c:pt idx="9">
                  <c:v>322</c:v>
                </c:pt>
                <c:pt idx="10">
                  <c:v>1181</c:v>
                </c:pt>
                <c:pt idx="11">
                  <c:v>1815</c:v>
                </c:pt>
                <c:pt idx="12">
                  <c:v>4090</c:v>
                </c:pt>
                <c:pt idx="13">
                  <c:v>3593</c:v>
                </c:pt>
                <c:pt idx="14">
                  <c:v>3954</c:v>
                </c:pt>
                <c:pt idx="15">
                  <c:v>3723</c:v>
                </c:pt>
                <c:pt idx="16">
                  <c:v>6119</c:v>
                </c:pt>
                <c:pt idx="17">
                  <c:v>9715</c:v>
                </c:pt>
                <c:pt idx="18" formatCode="_ * #,##0.00_ ;_ * \-#,##0.00_ ;_ * &quot;-&quot;??_ ;_ @_ ">
                  <c:v>10278</c:v>
                </c:pt>
              </c:numCache>
            </c:numRef>
          </c:val>
          <c:smooth val="0"/>
          <c:extLst>
            <c:ext xmlns:c16="http://schemas.microsoft.com/office/drawing/2014/chart" uri="{C3380CC4-5D6E-409C-BE32-E72D297353CC}">
              <c16:uniqueId val="{00000001-D3D6-49CB-8A7B-6D80B60F29C3}"/>
            </c:ext>
          </c:extLst>
        </c:ser>
        <c:dLbls>
          <c:showLegendKey val="0"/>
          <c:showVal val="0"/>
          <c:showCatName val="0"/>
          <c:showSerName val="0"/>
          <c:showPercent val="0"/>
          <c:showBubbleSize val="0"/>
        </c:dLbls>
        <c:marker val="1"/>
        <c:smooth val="0"/>
        <c:axId val="564092808"/>
        <c:axId val="564092416"/>
      </c:lineChart>
      <c:catAx>
        <c:axId val="45544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crossAx val="455441992"/>
        <c:crosses val="autoZero"/>
        <c:auto val="1"/>
        <c:lblAlgn val="ctr"/>
        <c:lblOffset val="100"/>
        <c:tickLblSkip val="2"/>
        <c:noMultiLvlLbl val="0"/>
      </c:catAx>
      <c:valAx>
        <c:axId val="455441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Total BEV fleet</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crossAx val="455441600"/>
        <c:crosses val="autoZero"/>
        <c:crossBetween val="between"/>
      </c:valAx>
      <c:valAx>
        <c:axId val="564092416"/>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Number of press articles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crossAx val="564092808"/>
        <c:crosses val="max"/>
        <c:crossBetween val="between"/>
      </c:valAx>
      <c:catAx>
        <c:axId val="564092808"/>
        <c:scaling>
          <c:orientation val="minMax"/>
        </c:scaling>
        <c:delete val="1"/>
        <c:axPos val="b"/>
        <c:majorTickMark val="out"/>
        <c:minorTickMark val="none"/>
        <c:tickLblPos val="nextTo"/>
        <c:crossAx val="5640924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nb-N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67756937359623"/>
          <c:y val="1.4008462802843378E-2"/>
          <c:w val="0.61775324596053405"/>
          <c:h val="0.82150509874790234"/>
        </c:manualLayout>
      </c:layout>
      <c:barChart>
        <c:barDir val="bar"/>
        <c:grouping val="clustered"/>
        <c:varyColors val="0"/>
        <c:ser>
          <c:idx val="0"/>
          <c:order val="0"/>
          <c:tx>
            <c:strRef>
              <c:f>Adaptation!$J$8</c:f>
              <c:strCache>
                <c:ptCount val="1"/>
                <c:pt idx="0">
                  <c:v>EV-only households </c:v>
                </c:pt>
              </c:strCache>
            </c:strRef>
          </c:tx>
          <c:spPr>
            <a:solidFill>
              <a:schemeClr val="accent1"/>
            </a:solidFill>
            <a:ln>
              <a:noFill/>
            </a:ln>
            <a:effectLst/>
          </c:spPr>
          <c:invertIfNegative val="0"/>
          <c:dLbls>
            <c:dLbl>
              <c:idx val="11"/>
              <c:layout>
                <c:manualLayout>
                  <c:x val="-2.9792939073439049E-3"/>
                  <c:y val="5.15995872033023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14-467C-9DDD-27737812BC11}"/>
                </c:ext>
              </c:extLst>
            </c:dLbl>
            <c:spPr>
              <a:noFill/>
              <a:ln>
                <a:noFill/>
              </a:ln>
              <a:effectLst/>
            </c:spPr>
            <c:txPr>
              <a:bodyPr rot="0" vert="horz"/>
              <a:lstStyle/>
              <a:p>
                <a:pPr>
                  <a:defRPr sz="800"/>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Adaptation!$G$9:$G$20</c:f>
              <c:strCache>
                <c:ptCount val="12"/>
                <c:pt idx="0">
                  <c:v>Use other vehicle in household</c:v>
                </c:pt>
                <c:pt idx="1">
                  <c:v>Vehicle rental deal with dealer</c:v>
                </c:pt>
                <c:pt idx="2">
                  <c:v>Loan vehicle from family/friends</c:v>
                </c:pt>
                <c:pt idx="3">
                  <c:v>Rents a vehicle</c:v>
                </c:pt>
                <c:pt idx="4">
                  <c:v>Use public transport</c:v>
                </c:pt>
                <c:pt idx="5">
                  <c:v>Use vehicle from car sharing</c:v>
                </c:pt>
                <c:pt idx="6">
                  <c:v>The trip is not done</c:v>
                </c:pt>
                <c:pt idx="7">
                  <c:v>Use fast charge stations</c:v>
                </c:pt>
                <c:pt idx="8">
                  <c:v>Ecodriving</c:v>
                </c:pt>
                <c:pt idx="9">
                  <c:v>Turns off heater/AC</c:v>
                </c:pt>
                <c:pt idx="10">
                  <c:v>Plan better</c:v>
                </c:pt>
                <c:pt idx="11">
                  <c:v>Other</c:v>
                </c:pt>
              </c:strCache>
            </c:strRef>
          </c:cat>
          <c:val>
            <c:numRef>
              <c:f>Adaptation!$J$9:$J$20</c:f>
              <c:numCache>
                <c:formatCode>0%</c:formatCode>
                <c:ptCount val="12"/>
                <c:pt idx="0">
                  <c:v>0.1911111111111112</c:v>
                </c:pt>
                <c:pt idx="1">
                  <c:v>3.333333333333334E-2</c:v>
                </c:pt>
                <c:pt idx="2">
                  <c:v>0.32888888888889034</c:v>
                </c:pt>
                <c:pt idx="3">
                  <c:v>0.12666666666666668</c:v>
                </c:pt>
                <c:pt idx="4">
                  <c:v>0.32888888888889034</c:v>
                </c:pt>
                <c:pt idx="5">
                  <c:v>3.333333333333334E-2</c:v>
                </c:pt>
                <c:pt idx="6">
                  <c:v>0.16888888888888889</c:v>
                </c:pt>
                <c:pt idx="7">
                  <c:v>0.54</c:v>
                </c:pt>
                <c:pt idx="8">
                  <c:v>0.48444444444444495</c:v>
                </c:pt>
                <c:pt idx="9">
                  <c:v>0.38222222222222285</c:v>
                </c:pt>
                <c:pt idx="10">
                  <c:v>0.46888888888888991</c:v>
                </c:pt>
                <c:pt idx="11">
                  <c:v>4.4444444444444502E-2</c:v>
                </c:pt>
              </c:numCache>
            </c:numRef>
          </c:val>
          <c:extLst>
            <c:ext xmlns:c16="http://schemas.microsoft.com/office/drawing/2014/chart" uri="{C3380CC4-5D6E-409C-BE32-E72D297353CC}">
              <c16:uniqueId val="{00000000-6DE9-4FF9-9D6F-BF9118F991AB}"/>
            </c:ext>
          </c:extLst>
        </c:ser>
        <c:ser>
          <c:idx val="1"/>
          <c:order val="1"/>
          <c:tx>
            <c:strRef>
              <c:f>Adaptation!$K$8</c:f>
              <c:strCache>
                <c:ptCount val="1"/>
                <c:pt idx="0">
                  <c:v>Multicar EV/ICE households</c:v>
                </c:pt>
              </c:strCache>
            </c:strRef>
          </c:tx>
          <c:spPr>
            <a:solidFill>
              <a:schemeClr val="accent2"/>
            </a:solidFill>
            <a:ln>
              <a:noFill/>
            </a:ln>
            <a:effectLst/>
          </c:spPr>
          <c:invertIfNegative val="0"/>
          <c:dLbls>
            <c:dLbl>
              <c:idx val="11"/>
              <c:layout>
                <c:manualLayout>
                  <c:x val="-2.9792939073439596E-3"/>
                  <c:y val="-5.1599587203302356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4.6998244093315239E-2"/>
                      <c:h val="5.5547158772336118E-2"/>
                    </c:manualLayout>
                  </c15:layout>
                </c:ext>
                <c:ext xmlns:c16="http://schemas.microsoft.com/office/drawing/2014/chart" uri="{C3380CC4-5D6E-409C-BE32-E72D297353CC}">
                  <c16:uniqueId val="{00000000-9914-467C-9DDD-27737812BC11}"/>
                </c:ext>
              </c:extLst>
            </c:dLbl>
            <c:spPr>
              <a:noFill/>
              <a:ln>
                <a:noFill/>
              </a:ln>
              <a:effectLst/>
            </c:spPr>
            <c:txPr>
              <a:bodyPr rot="0" vert="horz"/>
              <a:lstStyle/>
              <a:p>
                <a:pPr>
                  <a:defRPr sz="800"/>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Adaptation!$G$9:$G$20</c:f>
              <c:strCache>
                <c:ptCount val="12"/>
                <c:pt idx="0">
                  <c:v>Use other vehicle in household</c:v>
                </c:pt>
                <c:pt idx="1">
                  <c:v>Vehicle rental deal with dealer</c:v>
                </c:pt>
                <c:pt idx="2">
                  <c:v>Loan vehicle from family/friends</c:v>
                </c:pt>
                <c:pt idx="3">
                  <c:v>Rents a vehicle</c:v>
                </c:pt>
                <c:pt idx="4">
                  <c:v>Use public transport</c:v>
                </c:pt>
                <c:pt idx="5">
                  <c:v>Use vehicle from car sharing</c:v>
                </c:pt>
                <c:pt idx="6">
                  <c:v>The trip is not done</c:v>
                </c:pt>
                <c:pt idx="7">
                  <c:v>Use fast charge stations</c:v>
                </c:pt>
                <c:pt idx="8">
                  <c:v>Ecodriving</c:v>
                </c:pt>
                <c:pt idx="9">
                  <c:v>Turns off heater/AC</c:v>
                </c:pt>
                <c:pt idx="10">
                  <c:v>Plan better</c:v>
                </c:pt>
                <c:pt idx="11">
                  <c:v>Other</c:v>
                </c:pt>
              </c:strCache>
            </c:strRef>
          </c:cat>
          <c:val>
            <c:numRef>
              <c:f>Adaptation!$K$9:$K$20</c:f>
              <c:numCache>
                <c:formatCode>0%</c:formatCode>
                <c:ptCount val="12"/>
                <c:pt idx="0">
                  <c:v>0.89842519685039368</c:v>
                </c:pt>
                <c:pt idx="1">
                  <c:v>1.4960629921259842E-2</c:v>
                </c:pt>
                <c:pt idx="2">
                  <c:v>4.4881889763779444E-2</c:v>
                </c:pt>
                <c:pt idx="3">
                  <c:v>1.8110236220472441E-2</c:v>
                </c:pt>
                <c:pt idx="4">
                  <c:v>0.18976377952755921</c:v>
                </c:pt>
                <c:pt idx="5">
                  <c:v>7.874015748031496E-4</c:v>
                </c:pt>
                <c:pt idx="6">
                  <c:v>7.0078740157480321E-2</c:v>
                </c:pt>
                <c:pt idx="7">
                  <c:v>0.37244094488189022</c:v>
                </c:pt>
                <c:pt idx="8">
                  <c:v>0.40708661417322878</c:v>
                </c:pt>
                <c:pt idx="9">
                  <c:v>0.39921259842519685</c:v>
                </c:pt>
                <c:pt idx="10">
                  <c:v>0.33307086614173292</c:v>
                </c:pt>
                <c:pt idx="11">
                  <c:v>3.7795275590551243E-2</c:v>
                </c:pt>
              </c:numCache>
            </c:numRef>
          </c:val>
          <c:extLst>
            <c:ext xmlns:c16="http://schemas.microsoft.com/office/drawing/2014/chart" uri="{C3380CC4-5D6E-409C-BE32-E72D297353CC}">
              <c16:uniqueId val="{00000001-6DE9-4FF9-9D6F-BF9118F991AB}"/>
            </c:ext>
          </c:extLst>
        </c:ser>
        <c:dLbls>
          <c:showLegendKey val="0"/>
          <c:showVal val="1"/>
          <c:showCatName val="0"/>
          <c:showSerName val="0"/>
          <c:showPercent val="0"/>
          <c:showBubbleSize val="0"/>
        </c:dLbls>
        <c:gapWidth val="100"/>
        <c:axId val="236825112"/>
        <c:axId val="236825504"/>
      </c:barChart>
      <c:catAx>
        <c:axId val="236825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nb-NO"/>
          </a:p>
        </c:txPr>
        <c:crossAx val="236825504"/>
        <c:crosses val="autoZero"/>
        <c:auto val="1"/>
        <c:lblAlgn val="ctr"/>
        <c:lblOffset val="100"/>
        <c:noMultiLvlLbl val="0"/>
      </c:catAx>
      <c:valAx>
        <c:axId val="236825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nb-NO"/>
          </a:p>
        </c:txPr>
        <c:crossAx val="236825112"/>
        <c:crosses val="autoZero"/>
        <c:crossBetween val="between"/>
      </c:valAx>
      <c:spPr>
        <a:noFill/>
        <a:ln>
          <a:noFill/>
        </a:ln>
        <a:effectLst/>
      </c:spPr>
    </c:plotArea>
    <c:legend>
      <c:legendPos val="b"/>
      <c:layout>
        <c:manualLayout>
          <c:xMode val="edge"/>
          <c:yMode val="edge"/>
          <c:x val="0.25480592886078035"/>
          <c:y val="0.94035355313560998"/>
          <c:w val="0.49038814227843985"/>
          <c:h val="5.3326333102342395E-2"/>
        </c:manualLayout>
      </c:layout>
      <c:overlay val="0"/>
      <c:spPr>
        <a:noFill/>
        <a:ln>
          <a:noFill/>
        </a:ln>
        <a:effectLst/>
      </c:spPr>
      <c:txPr>
        <a:bodyPr rot="0" vert="horz"/>
        <a:lstStyle/>
        <a:p>
          <a:pPr>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a:pPr>
      <a:endParaRPr lang="nb-N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'Ark1'!$G$16</c:f>
              <c:strCache>
                <c:ptCount val="1"/>
                <c:pt idx="0">
                  <c:v>EVs/ public normal charge point</c:v>
                </c:pt>
              </c:strCache>
            </c:strRef>
          </c:tx>
          <c:spPr>
            <a:ln w="28575" cap="rnd">
              <a:solidFill>
                <a:schemeClr val="accent1"/>
              </a:solidFill>
              <a:round/>
            </a:ln>
            <a:effectLst/>
          </c:spPr>
          <c:marker>
            <c:symbol val="none"/>
          </c:marker>
          <c:cat>
            <c:numRef>
              <c:f>'Ark1'!$C$17:$C$21</c:f>
              <c:numCache>
                <c:formatCode>General</c:formatCode>
                <c:ptCount val="5"/>
                <c:pt idx="0">
                  <c:v>2010</c:v>
                </c:pt>
                <c:pt idx="1">
                  <c:v>2011</c:v>
                </c:pt>
                <c:pt idx="2">
                  <c:v>2012</c:v>
                </c:pt>
                <c:pt idx="3">
                  <c:v>2013</c:v>
                </c:pt>
                <c:pt idx="4">
                  <c:v>2014</c:v>
                </c:pt>
              </c:numCache>
            </c:numRef>
          </c:cat>
          <c:val>
            <c:numRef>
              <c:f>'Ark1'!$G$17:$G$21</c:f>
              <c:numCache>
                <c:formatCode>0.0</c:formatCode>
                <c:ptCount val="5"/>
                <c:pt idx="0">
                  <c:v>1.1368885869565253</c:v>
                </c:pt>
                <c:pt idx="1">
                  <c:v>1.6425518925518925</c:v>
                </c:pt>
                <c:pt idx="2">
                  <c:v>2.428281289667432</c:v>
                </c:pt>
                <c:pt idx="3">
                  <c:v>4.2473559248866826</c:v>
                </c:pt>
                <c:pt idx="4">
                  <c:v>6.5186059175893956</c:v>
                </c:pt>
              </c:numCache>
            </c:numRef>
          </c:val>
          <c:smooth val="0"/>
          <c:extLst>
            <c:ext xmlns:c16="http://schemas.microsoft.com/office/drawing/2014/chart" uri="{C3380CC4-5D6E-409C-BE32-E72D297353CC}">
              <c16:uniqueId val="{00000000-97B1-4FFF-B097-57C3E066AA75}"/>
            </c:ext>
          </c:extLst>
        </c:ser>
        <c:dLbls>
          <c:showLegendKey val="0"/>
          <c:showVal val="0"/>
          <c:showCatName val="0"/>
          <c:showSerName val="0"/>
          <c:showPercent val="0"/>
          <c:showBubbleSize val="0"/>
        </c:dLbls>
        <c:marker val="1"/>
        <c:smooth val="0"/>
        <c:axId val="236823152"/>
        <c:axId val="236823544"/>
      </c:lineChart>
      <c:lineChart>
        <c:grouping val="standard"/>
        <c:varyColors val="0"/>
        <c:ser>
          <c:idx val="1"/>
          <c:order val="1"/>
          <c:tx>
            <c:strRef>
              <c:f>'Ark1'!$H$16</c:f>
              <c:strCache>
                <c:ptCount val="1"/>
                <c:pt idx="0">
                  <c:v>EVs/fast charger</c:v>
                </c:pt>
              </c:strCache>
            </c:strRef>
          </c:tx>
          <c:spPr>
            <a:ln w="28575" cap="rnd">
              <a:solidFill>
                <a:schemeClr val="accent2"/>
              </a:solidFill>
              <a:round/>
            </a:ln>
            <a:effectLst/>
          </c:spPr>
          <c:marker>
            <c:symbol val="none"/>
          </c:marker>
          <c:cat>
            <c:numRef>
              <c:f>'Ark1'!$C$17:$C$21</c:f>
              <c:numCache>
                <c:formatCode>General</c:formatCode>
                <c:ptCount val="5"/>
                <c:pt idx="0">
                  <c:v>2010</c:v>
                </c:pt>
                <c:pt idx="1">
                  <c:v>2011</c:v>
                </c:pt>
                <c:pt idx="2">
                  <c:v>2012</c:v>
                </c:pt>
                <c:pt idx="3">
                  <c:v>2013</c:v>
                </c:pt>
                <c:pt idx="4">
                  <c:v>2014</c:v>
                </c:pt>
              </c:numCache>
            </c:numRef>
          </c:cat>
          <c:val>
            <c:numRef>
              <c:f>'Ark1'!$H$17:$H$21</c:f>
              <c:numCache>
                <c:formatCode>0</c:formatCode>
                <c:ptCount val="5"/>
                <c:pt idx="1">
                  <c:v>316.52941176470586</c:v>
                </c:pt>
                <c:pt idx="2">
                  <c:v>162.11864406779662</c:v>
                </c:pt>
                <c:pt idx="3">
                  <c:v>242.93827160493828</c:v>
                </c:pt>
                <c:pt idx="4">
                  <c:v>366.43877551020324</c:v>
                </c:pt>
              </c:numCache>
            </c:numRef>
          </c:val>
          <c:smooth val="0"/>
          <c:extLst>
            <c:ext xmlns:c16="http://schemas.microsoft.com/office/drawing/2014/chart" uri="{C3380CC4-5D6E-409C-BE32-E72D297353CC}">
              <c16:uniqueId val="{00000001-97B1-4FFF-B097-57C3E066AA75}"/>
            </c:ext>
          </c:extLst>
        </c:ser>
        <c:dLbls>
          <c:showLegendKey val="0"/>
          <c:showVal val="0"/>
          <c:showCatName val="0"/>
          <c:showSerName val="0"/>
          <c:showPercent val="0"/>
          <c:showBubbleSize val="0"/>
        </c:dLbls>
        <c:marker val="1"/>
        <c:smooth val="0"/>
        <c:axId val="236824328"/>
        <c:axId val="236823936"/>
      </c:lineChart>
      <c:catAx>
        <c:axId val="23682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nb-NO"/>
          </a:p>
        </c:txPr>
        <c:crossAx val="236823544"/>
        <c:crosses val="autoZero"/>
        <c:auto val="1"/>
        <c:lblAlgn val="ctr"/>
        <c:lblOffset val="100"/>
        <c:noMultiLvlLbl val="0"/>
      </c:catAx>
      <c:valAx>
        <c:axId val="236823544"/>
        <c:scaling>
          <c:orientation val="minMax"/>
          <c:max val="8"/>
          <c:min val="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EVs per public normal charge point</a:t>
                </a:r>
              </a:p>
            </c:rich>
          </c:tx>
          <c:overlay val="0"/>
          <c:spPr>
            <a:noFill/>
            <a:ln>
              <a:noFill/>
            </a:ln>
            <a:effectLst/>
          </c:spPr>
        </c:title>
        <c:numFmt formatCode="0.0" sourceLinked="1"/>
        <c:majorTickMark val="none"/>
        <c:minorTickMark val="none"/>
        <c:tickLblPos val="nextTo"/>
        <c:spPr>
          <a:noFill/>
          <a:ln>
            <a:noFill/>
          </a:ln>
          <a:effectLst/>
        </c:spPr>
        <c:txPr>
          <a:bodyPr rot="-60000000" vert="horz"/>
          <a:lstStyle/>
          <a:p>
            <a:pPr>
              <a:defRPr/>
            </a:pPr>
            <a:endParaRPr lang="nb-NO"/>
          </a:p>
        </c:txPr>
        <c:crossAx val="236823152"/>
        <c:crosses val="autoZero"/>
        <c:crossBetween val="between"/>
      </c:valAx>
      <c:valAx>
        <c:axId val="236823936"/>
        <c:scaling>
          <c:orientation val="minMax"/>
        </c:scaling>
        <c:delete val="0"/>
        <c:axPos val="r"/>
        <c:title>
          <c:tx>
            <c:rich>
              <a:bodyPr rot="-5400000" vert="horz"/>
              <a:lstStyle/>
              <a:p>
                <a:pPr>
                  <a:defRPr/>
                </a:pPr>
                <a:r>
                  <a:rPr lang="en-US"/>
                  <a:t>EVs per fast charger</a:t>
                </a:r>
              </a:p>
            </c:rich>
          </c:tx>
          <c:overlay val="0"/>
          <c:spPr>
            <a:noFill/>
            <a:ln>
              <a:noFill/>
            </a:ln>
            <a:effectLst/>
          </c:spPr>
        </c:title>
        <c:numFmt formatCode="0" sourceLinked="1"/>
        <c:majorTickMark val="out"/>
        <c:minorTickMark val="none"/>
        <c:tickLblPos val="nextTo"/>
        <c:spPr>
          <a:noFill/>
          <a:ln>
            <a:noFill/>
          </a:ln>
          <a:effectLst/>
        </c:spPr>
        <c:txPr>
          <a:bodyPr rot="-60000000" vert="horz"/>
          <a:lstStyle/>
          <a:p>
            <a:pPr>
              <a:defRPr/>
            </a:pPr>
            <a:endParaRPr lang="nb-NO"/>
          </a:p>
        </c:txPr>
        <c:crossAx val="236824328"/>
        <c:crosses val="max"/>
        <c:crossBetween val="between"/>
      </c:valAx>
      <c:catAx>
        <c:axId val="236824328"/>
        <c:scaling>
          <c:orientation val="minMax"/>
        </c:scaling>
        <c:delete val="1"/>
        <c:axPos val="b"/>
        <c:numFmt formatCode="General" sourceLinked="1"/>
        <c:majorTickMark val="out"/>
        <c:minorTickMark val="none"/>
        <c:tickLblPos val="none"/>
        <c:crossAx val="236823936"/>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nb-N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'Ark7'!$A$28</c:f>
              <c:strCache>
                <c:ptCount val="1"/>
                <c:pt idx="0">
                  <c:v>EV dealers</c:v>
                </c:pt>
              </c:strCache>
            </c:strRef>
          </c:tx>
          <c:spPr>
            <a:ln w="28575" cap="rnd">
              <a:solidFill>
                <a:schemeClr val="accent1"/>
              </a:solidFill>
              <a:round/>
            </a:ln>
            <a:effectLst/>
          </c:spPr>
          <c:marker>
            <c:symbol val="none"/>
          </c:marker>
          <c:cat>
            <c:multiLvlStrRef>
              <c:f>'Ark7'!$H$1:$BB$2</c:f>
              <c:multiLvlStrCache>
                <c:ptCount val="4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lvl>
                <c:lvl>
                  <c:pt idx="0">
                    <c:v>2011</c:v>
                  </c:pt>
                  <c:pt idx="12">
                    <c:v>2012</c:v>
                  </c:pt>
                  <c:pt idx="24">
                    <c:v>2013</c:v>
                  </c:pt>
                  <c:pt idx="36">
                    <c:v>2014</c:v>
                  </c:pt>
                </c:lvl>
              </c:multiLvlStrCache>
            </c:multiLvlStrRef>
          </c:cat>
          <c:val>
            <c:numRef>
              <c:f>'Ark7'!$H$28:$BB$28</c:f>
              <c:numCache>
                <c:formatCode>General</c:formatCode>
                <c:ptCount val="47"/>
                <c:pt idx="0">
                  <c:v>61</c:v>
                </c:pt>
                <c:pt idx="1">
                  <c:v>61</c:v>
                </c:pt>
                <c:pt idx="2">
                  <c:v>175</c:v>
                </c:pt>
                <c:pt idx="3">
                  <c:v>175</c:v>
                </c:pt>
                <c:pt idx="4">
                  <c:v>175</c:v>
                </c:pt>
                <c:pt idx="5">
                  <c:v>175</c:v>
                </c:pt>
                <c:pt idx="6">
                  <c:v>175</c:v>
                </c:pt>
                <c:pt idx="7">
                  <c:v>175</c:v>
                </c:pt>
                <c:pt idx="8">
                  <c:v>183</c:v>
                </c:pt>
                <c:pt idx="9">
                  <c:v>183</c:v>
                </c:pt>
                <c:pt idx="10">
                  <c:v>183</c:v>
                </c:pt>
                <c:pt idx="11">
                  <c:v>184</c:v>
                </c:pt>
                <c:pt idx="12">
                  <c:v>184</c:v>
                </c:pt>
                <c:pt idx="13">
                  <c:v>184</c:v>
                </c:pt>
                <c:pt idx="14">
                  <c:v>184</c:v>
                </c:pt>
                <c:pt idx="15">
                  <c:v>184</c:v>
                </c:pt>
                <c:pt idx="16">
                  <c:v>184</c:v>
                </c:pt>
                <c:pt idx="17">
                  <c:v>184</c:v>
                </c:pt>
                <c:pt idx="18">
                  <c:v>231</c:v>
                </c:pt>
                <c:pt idx="19">
                  <c:v>231</c:v>
                </c:pt>
                <c:pt idx="20">
                  <c:v>231</c:v>
                </c:pt>
                <c:pt idx="21">
                  <c:v>231</c:v>
                </c:pt>
                <c:pt idx="22">
                  <c:v>231</c:v>
                </c:pt>
                <c:pt idx="23">
                  <c:v>231</c:v>
                </c:pt>
                <c:pt idx="24">
                  <c:v>231</c:v>
                </c:pt>
                <c:pt idx="25">
                  <c:v>231</c:v>
                </c:pt>
                <c:pt idx="26">
                  <c:v>231</c:v>
                </c:pt>
                <c:pt idx="27">
                  <c:v>231</c:v>
                </c:pt>
                <c:pt idx="28">
                  <c:v>231</c:v>
                </c:pt>
                <c:pt idx="29">
                  <c:v>231</c:v>
                </c:pt>
                <c:pt idx="30">
                  <c:v>263</c:v>
                </c:pt>
                <c:pt idx="31">
                  <c:v>262</c:v>
                </c:pt>
                <c:pt idx="32">
                  <c:v>262</c:v>
                </c:pt>
                <c:pt idx="33">
                  <c:v>324</c:v>
                </c:pt>
                <c:pt idx="34">
                  <c:v>329</c:v>
                </c:pt>
                <c:pt idx="35">
                  <c:v>329</c:v>
                </c:pt>
                <c:pt idx="36">
                  <c:v>330</c:v>
                </c:pt>
                <c:pt idx="37">
                  <c:v>330</c:v>
                </c:pt>
                <c:pt idx="38">
                  <c:v>331</c:v>
                </c:pt>
                <c:pt idx="39">
                  <c:v>332</c:v>
                </c:pt>
                <c:pt idx="40">
                  <c:v>333</c:v>
                </c:pt>
                <c:pt idx="41">
                  <c:v>333</c:v>
                </c:pt>
                <c:pt idx="42">
                  <c:v>334</c:v>
                </c:pt>
                <c:pt idx="43">
                  <c:v>389</c:v>
                </c:pt>
                <c:pt idx="44">
                  <c:v>390</c:v>
                </c:pt>
                <c:pt idx="45">
                  <c:v>390</c:v>
                </c:pt>
                <c:pt idx="46">
                  <c:v>440</c:v>
                </c:pt>
              </c:numCache>
            </c:numRef>
          </c:val>
          <c:smooth val="0"/>
          <c:extLst>
            <c:ext xmlns:c16="http://schemas.microsoft.com/office/drawing/2014/chart" uri="{C3380CC4-5D6E-409C-BE32-E72D297353CC}">
              <c16:uniqueId val="{00000000-8B50-445E-94A8-686DE99EEDFE}"/>
            </c:ext>
          </c:extLst>
        </c:ser>
        <c:dLbls>
          <c:showLegendKey val="0"/>
          <c:showVal val="0"/>
          <c:showCatName val="0"/>
          <c:showSerName val="0"/>
          <c:showPercent val="0"/>
          <c:showBubbleSize val="0"/>
        </c:dLbls>
        <c:marker val="1"/>
        <c:smooth val="0"/>
        <c:axId val="235579032"/>
        <c:axId val="235579424"/>
      </c:lineChart>
      <c:lineChart>
        <c:grouping val="standard"/>
        <c:varyColors val="0"/>
        <c:ser>
          <c:idx val="1"/>
          <c:order val="1"/>
          <c:tx>
            <c:strRef>
              <c:f>'Ark7'!$A$29</c:f>
              <c:strCache>
                <c:ptCount val="1"/>
                <c:pt idx="0">
                  <c:v>EV models</c:v>
                </c:pt>
              </c:strCache>
            </c:strRef>
          </c:tx>
          <c:spPr>
            <a:ln w="28575" cap="rnd">
              <a:solidFill>
                <a:schemeClr val="accent2"/>
              </a:solidFill>
              <a:round/>
            </a:ln>
            <a:effectLst/>
          </c:spPr>
          <c:marker>
            <c:symbol val="none"/>
          </c:marker>
          <c:val>
            <c:numRef>
              <c:f>'Ark7'!$H$29:$BB$29</c:f>
              <c:numCache>
                <c:formatCode>General</c:formatCode>
                <c:ptCount val="47"/>
                <c:pt idx="0">
                  <c:v>1</c:v>
                </c:pt>
                <c:pt idx="1">
                  <c:v>1</c:v>
                </c:pt>
                <c:pt idx="2">
                  <c:v>3</c:v>
                </c:pt>
                <c:pt idx="3">
                  <c:v>3</c:v>
                </c:pt>
                <c:pt idx="4">
                  <c:v>3</c:v>
                </c:pt>
                <c:pt idx="5">
                  <c:v>3</c:v>
                </c:pt>
                <c:pt idx="6">
                  <c:v>3</c:v>
                </c:pt>
                <c:pt idx="7">
                  <c:v>3</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4</c:v>
                </c:pt>
                <c:pt idx="25">
                  <c:v>4</c:v>
                </c:pt>
                <c:pt idx="26">
                  <c:v>4</c:v>
                </c:pt>
                <c:pt idx="27">
                  <c:v>4</c:v>
                </c:pt>
                <c:pt idx="28">
                  <c:v>4</c:v>
                </c:pt>
                <c:pt idx="29">
                  <c:v>4</c:v>
                </c:pt>
                <c:pt idx="30">
                  <c:v>5</c:v>
                </c:pt>
                <c:pt idx="31">
                  <c:v>6</c:v>
                </c:pt>
                <c:pt idx="32">
                  <c:v>6</c:v>
                </c:pt>
                <c:pt idx="33">
                  <c:v>7</c:v>
                </c:pt>
                <c:pt idx="34">
                  <c:v>8</c:v>
                </c:pt>
                <c:pt idx="35">
                  <c:v>8</c:v>
                </c:pt>
                <c:pt idx="36">
                  <c:v>8</c:v>
                </c:pt>
                <c:pt idx="37">
                  <c:v>8</c:v>
                </c:pt>
                <c:pt idx="38">
                  <c:v>9</c:v>
                </c:pt>
                <c:pt idx="39">
                  <c:v>9</c:v>
                </c:pt>
                <c:pt idx="40">
                  <c:v>9</c:v>
                </c:pt>
                <c:pt idx="41">
                  <c:v>9</c:v>
                </c:pt>
                <c:pt idx="42">
                  <c:v>10</c:v>
                </c:pt>
                <c:pt idx="43">
                  <c:v>11</c:v>
                </c:pt>
                <c:pt idx="44">
                  <c:v>11</c:v>
                </c:pt>
                <c:pt idx="45">
                  <c:v>11</c:v>
                </c:pt>
                <c:pt idx="46">
                  <c:v>12</c:v>
                </c:pt>
              </c:numCache>
            </c:numRef>
          </c:val>
          <c:smooth val="0"/>
          <c:extLst>
            <c:ext xmlns:c16="http://schemas.microsoft.com/office/drawing/2014/chart" uri="{C3380CC4-5D6E-409C-BE32-E72D297353CC}">
              <c16:uniqueId val="{00000001-8B50-445E-94A8-686DE99EEDFE}"/>
            </c:ext>
          </c:extLst>
        </c:ser>
        <c:dLbls>
          <c:showLegendKey val="0"/>
          <c:showVal val="0"/>
          <c:showCatName val="0"/>
          <c:showSerName val="0"/>
          <c:showPercent val="0"/>
          <c:showBubbleSize val="0"/>
        </c:dLbls>
        <c:marker val="1"/>
        <c:smooth val="0"/>
        <c:axId val="234452216"/>
        <c:axId val="234451824"/>
      </c:lineChart>
      <c:catAx>
        <c:axId val="2355790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crossAx val="235579424"/>
        <c:crosses val="autoZero"/>
        <c:auto val="1"/>
        <c:lblAlgn val="ctr"/>
        <c:lblOffset val="100"/>
        <c:noMultiLvlLbl val="0"/>
      </c:catAx>
      <c:valAx>
        <c:axId val="235579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Number of dealers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crossAx val="235579032"/>
        <c:crosses val="autoZero"/>
        <c:crossBetween val="between"/>
      </c:valAx>
      <c:valAx>
        <c:axId val="234451824"/>
        <c:scaling>
          <c:orientation val="minMax"/>
          <c:max val="20"/>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Number of OEM models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crossAx val="234452216"/>
        <c:crosses val="max"/>
        <c:crossBetween val="between"/>
      </c:valAx>
      <c:catAx>
        <c:axId val="234452216"/>
        <c:scaling>
          <c:orientation val="minMax"/>
        </c:scaling>
        <c:delete val="1"/>
        <c:axPos val="b"/>
        <c:majorTickMark val="out"/>
        <c:minorTickMark val="none"/>
        <c:tickLblPos val="none"/>
        <c:crossAx val="2344518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nb-NO"/>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DF661-272E-48D1-A1A6-BF12E75B5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9360</Words>
  <Characters>49612</Characters>
  <Application>Microsoft Office Word</Application>
  <DocSecurity>0</DocSecurity>
  <Lines>413</Lines>
  <Paragraphs>117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RAND Europe Cambridge Ltd</Company>
  <LinksUpToDate>false</LinksUpToDate>
  <CharactersWithSpaces>58855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Glenn Reffin</dc:creator>
  <cp:lastModifiedBy>Erik Figenbaum</cp:lastModifiedBy>
  <cp:revision>2</cp:revision>
  <cp:lastPrinted>2016-08-15T13:16:00Z</cp:lastPrinted>
  <dcterms:created xsi:type="dcterms:W3CDTF">2016-08-19T07:14:00Z</dcterms:created>
  <dcterms:modified xsi:type="dcterms:W3CDTF">2016-08-19T07:14:00Z</dcterms:modified>
</cp:coreProperties>
</file>