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09" w:rsidRDefault="00AC0809" w:rsidP="00865DD9">
      <w:pPr>
        <w:pStyle w:val="Ttulo"/>
      </w:pPr>
      <w:r w:rsidRPr="00AC0809">
        <w:t xml:space="preserve">analysis of mobility patterns and intended use of shared mobility services </w:t>
      </w:r>
      <w:r w:rsidR="00CF2FE9">
        <w:t>IN THE</w:t>
      </w:r>
      <w:r w:rsidR="00CF2FE9" w:rsidRPr="00AC0809">
        <w:t xml:space="preserve"> </w:t>
      </w:r>
      <w:r w:rsidRPr="00AC0809">
        <w:t>Barcelona region</w:t>
      </w:r>
    </w:p>
    <w:p w:rsidR="00C2679F" w:rsidRPr="007547B0" w:rsidRDefault="00FB35D4" w:rsidP="00C2679F">
      <w:pPr>
        <w:pStyle w:val="AuthorsName"/>
        <w:rPr>
          <w:b/>
          <w:lang w:val="ca-ES"/>
        </w:rPr>
      </w:pPr>
      <w:r w:rsidRPr="007547B0">
        <w:rPr>
          <w:b/>
          <w:lang w:val="ca-ES"/>
        </w:rPr>
        <w:t>Mireia Gilibert</w:t>
      </w:r>
    </w:p>
    <w:p w:rsidR="00FB35D4" w:rsidRPr="007547B0" w:rsidRDefault="00FB35D4" w:rsidP="00FB35D4">
      <w:pPr>
        <w:pStyle w:val="AuthorsName"/>
        <w:rPr>
          <w:lang w:val="ca-ES"/>
        </w:rPr>
      </w:pPr>
      <w:r w:rsidRPr="007547B0">
        <w:rPr>
          <w:lang w:val="ca-ES"/>
        </w:rPr>
        <w:t>SEAT, S.A., Autovía A-2, Km. 585 08760 Martorell, Spain</w:t>
      </w:r>
    </w:p>
    <w:p w:rsidR="00FB35D4" w:rsidRPr="007547B0" w:rsidRDefault="007547B0" w:rsidP="007547B0">
      <w:pPr>
        <w:pStyle w:val="AuthorsName"/>
        <w:rPr>
          <w:lang w:val="ca-ES"/>
        </w:rPr>
      </w:pPr>
      <w:r w:rsidRPr="007547B0">
        <w:rPr>
          <w:lang w:val="ca-ES"/>
        </w:rPr>
        <w:t>Departament</w:t>
      </w:r>
      <w:r w:rsidR="00A71E6F" w:rsidRPr="007547B0">
        <w:rPr>
          <w:lang w:val="ca-ES"/>
        </w:rPr>
        <w:t xml:space="preserve"> </w:t>
      </w:r>
      <w:r>
        <w:rPr>
          <w:lang w:val="ca-ES"/>
        </w:rPr>
        <w:t xml:space="preserve">d’Organització </w:t>
      </w:r>
      <w:r w:rsidR="00F23BBB">
        <w:rPr>
          <w:lang w:val="ca-ES"/>
        </w:rPr>
        <w:t>d’Empreses</w:t>
      </w:r>
      <w:r>
        <w:rPr>
          <w:lang w:val="ca-ES"/>
        </w:rPr>
        <w:t xml:space="preserve"> (</w:t>
      </w:r>
      <w:r w:rsidR="00E14BA1" w:rsidRPr="007547B0">
        <w:rPr>
          <w:lang w:val="ca-ES"/>
        </w:rPr>
        <w:t>DOE</w:t>
      </w:r>
      <w:r>
        <w:rPr>
          <w:lang w:val="ca-ES"/>
        </w:rPr>
        <w:t xml:space="preserve">), </w:t>
      </w:r>
      <w:r w:rsidRPr="007547B0">
        <w:rPr>
          <w:lang w:val="ca-ES"/>
        </w:rPr>
        <w:t>Universitat Politècnica de Catalunya · BarcelonaTech (UPC)</w:t>
      </w:r>
      <w:r>
        <w:rPr>
          <w:lang w:val="ca-ES"/>
        </w:rPr>
        <w:t xml:space="preserve">, </w:t>
      </w:r>
      <w:r w:rsidR="000A3320" w:rsidRPr="007547B0">
        <w:rPr>
          <w:lang w:val="ca-ES"/>
        </w:rPr>
        <w:t>Av. Diagonal, 647, 08028 Barcelona, Spain</w:t>
      </w:r>
    </w:p>
    <w:p w:rsidR="00C2679F" w:rsidRPr="007547B0" w:rsidRDefault="000A3320" w:rsidP="00C2679F">
      <w:pPr>
        <w:pStyle w:val="AuthorsName"/>
        <w:rPr>
          <w:b/>
          <w:lang w:val="ca-ES"/>
        </w:rPr>
      </w:pPr>
      <w:r w:rsidRPr="007547B0">
        <w:rPr>
          <w:b/>
          <w:lang w:val="ca-ES"/>
        </w:rPr>
        <w:t>Imma Ribas</w:t>
      </w:r>
    </w:p>
    <w:p w:rsidR="00C2679F" w:rsidRPr="007547B0" w:rsidRDefault="000A3320" w:rsidP="00C2679F">
      <w:pPr>
        <w:pStyle w:val="AuthorsName"/>
        <w:rPr>
          <w:b/>
          <w:lang w:val="ca-ES"/>
        </w:rPr>
      </w:pPr>
      <w:r w:rsidRPr="007547B0">
        <w:rPr>
          <w:b/>
          <w:lang w:val="ca-ES"/>
        </w:rPr>
        <w:t>Silvia Rodriguez-Donaire</w:t>
      </w:r>
    </w:p>
    <w:p w:rsidR="00964F4A" w:rsidRPr="007547B0" w:rsidRDefault="00964F4A" w:rsidP="00964F4A">
      <w:pPr>
        <w:pStyle w:val="AuthorsName"/>
        <w:rPr>
          <w:lang w:val="ca-ES"/>
        </w:rPr>
      </w:pPr>
      <w:r w:rsidRPr="007547B0">
        <w:rPr>
          <w:lang w:val="ca-ES"/>
        </w:rPr>
        <w:t xml:space="preserve">Departament </w:t>
      </w:r>
      <w:r>
        <w:rPr>
          <w:lang w:val="ca-ES"/>
        </w:rPr>
        <w:t xml:space="preserve">d’Organització </w:t>
      </w:r>
      <w:r w:rsidR="00F23BBB">
        <w:rPr>
          <w:lang w:val="ca-ES"/>
        </w:rPr>
        <w:t xml:space="preserve">d’Empreses </w:t>
      </w:r>
      <w:r>
        <w:rPr>
          <w:lang w:val="ca-ES"/>
        </w:rPr>
        <w:t>(</w:t>
      </w:r>
      <w:r w:rsidRPr="007547B0">
        <w:rPr>
          <w:lang w:val="ca-ES"/>
        </w:rPr>
        <w:t>DOE</w:t>
      </w:r>
      <w:r>
        <w:rPr>
          <w:lang w:val="ca-ES"/>
        </w:rPr>
        <w:t xml:space="preserve">), </w:t>
      </w:r>
      <w:r w:rsidRPr="007547B0">
        <w:rPr>
          <w:lang w:val="ca-ES"/>
        </w:rPr>
        <w:t>Universitat Politècnica de Catalunya · BarcelonaTech (UPC)</w:t>
      </w:r>
      <w:r>
        <w:rPr>
          <w:lang w:val="ca-ES"/>
        </w:rPr>
        <w:t xml:space="preserve">, </w:t>
      </w:r>
      <w:r w:rsidRPr="007547B0">
        <w:rPr>
          <w:lang w:val="ca-ES"/>
        </w:rPr>
        <w:t>Av. Diagonal, 647, 08028 Barcelona, Spain</w:t>
      </w:r>
    </w:p>
    <w:p w:rsidR="00C2679F" w:rsidRPr="0068012F" w:rsidRDefault="00794E16" w:rsidP="00794E16">
      <w:pPr>
        <w:pStyle w:val="Ttulo1"/>
      </w:pPr>
      <w:r>
        <w:t>abstract</w:t>
      </w:r>
    </w:p>
    <w:p w:rsidR="00ED4767" w:rsidRDefault="009569CC" w:rsidP="00ED4767">
      <w:pPr>
        <w:pStyle w:val="Text"/>
      </w:pPr>
      <w:r>
        <w:t xml:space="preserve">Social and economic trends have strongly changed in the last years due to the economic crisis and the evolution of technology. </w:t>
      </w:r>
      <w:r w:rsidR="00427A67">
        <w:t>These factors have</w:t>
      </w:r>
      <w:r>
        <w:t xml:space="preserve"> influenced a sharing revolution, also in the mobility sector</w:t>
      </w:r>
      <w:r w:rsidR="00427A67">
        <w:t xml:space="preserve"> motivated</w:t>
      </w:r>
      <w:r>
        <w:t xml:space="preserve"> for the increasing urbanisation a</w:t>
      </w:r>
      <w:r w:rsidR="00ED4767">
        <w:t xml:space="preserve">nd environmental consciousness. The paper focuses on the intended use of shared mobility services by citizens of the metropolitan Barcelona region, relying </w:t>
      </w:r>
      <w:r w:rsidR="00ED4767" w:rsidRPr="00593977">
        <w:t xml:space="preserve">on a quantitative analysis of their mobility patterns, behaviours, needs and expectations. Six hundred surveys with commuting travellers were conducted in order to identify the differences among customers regarding different factors, such as their age, daily trips or personal </w:t>
      </w:r>
      <w:r w:rsidR="00ED4767" w:rsidRPr="006D6E17">
        <w:t xml:space="preserve">incomes. </w:t>
      </w:r>
      <w:r w:rsidR="004A4AC9">
        <w:t>R</w:t>
      </w:r>
      <w:r w:rsidR="00427A67">
        <w:t>esults</w:t>
      </w:r>
      <w:r w:rsidR="00427A67" w:rsidRPr="006D6E17">
        <w:t xml:space="preserve"> </w:t>
      </w:r>
      <w:r w:rsidR="00ED4767" w:rsidRPr="006D6E17">
        <w:t>show</w:t>
      </w:r>
      <w:r w:rsidR="00ED4767">
        <w:t xml:space="preserve"> clear</w:t>
      </w:r>
      <w:r w:rsidR="00ED4767" w:rsidRPr="006D6E17">
        <w:t xml:space="preserve"> different patterns depending on whether commuting trips are within or out of the city and a greater intended use of </w:t>
      </w:r>
      <w:r w:rsidR="00BF6465">
        <w:t>ridesharing</w:t>
      </w:r>
      <w:r w:rsidR="00ED4767" w:rsidRPr="006D6E17">
        <w:t>, carsharing and ride-hailing services of the youngest population.</w:t>
      </w:r>
      <w:r w:rsidR="00ED4767">
        <w:t xml:space="preserve"> Besides, data indicates that travellers do not have preferences for a single mean of transport but for the service that best meets their needs in each occasion. </w:t>
      </w:r>
    </w:p>
    <w:p w:rsidR="00FB35D4" w:rsidRPr="0068012F" w:rsidRDefault="00FB35D4" w:rsidP="00690D83">
      <w:pPr>
        <w:pStyle w:val="Ttulo1"/>
        <w:numPr>
          <w:ilvl w:val="0"/>
          <w:numId w:val="1"/>
        </w:numPr>
        <w:ind w:left="0" w:hanging="567"/>
      </w:pPr>
      <w:r>
        <w:t>iNTRODUCTION</w:t>
      </w:r>
      <w:r w:rsidR="00B548DC">
        <w:t xml:space="preserve"> </w:t>
      </w:r>
    </w:p>
    <w:p w:rsidR="009569CC" w:rsidRDefault="009569CC" w:rsidP="009569CC">
      <w:pPr>
        <w:pStyle w:val="Text"/>
      </w:pPr>
      <w:r>
        <w:t>Urban mobility is a current trending topic.  On one hand, cities are beginning to face the rising problem of urbanisation. According to</w:t>
      </w:r>
      <w:r w:rsidR="00F036F0">
        <w:t xml:space="preserve"> the</w:t>
      </w:r>
      <w:r>
        <w:t xml:space="preserve"> </w:t>
      </w:r>
      <w:r w:rsidR="00A070D3" w:rsidRPr="0078472D">
        <w:fldChar w:fldCharType="begin"/>
      </w:r>
      <w:r w:rsidRPr="0078472D">
        <w:instrText xml:space="preserve"> ADDIN ZOTERO_ITEM CSL_CITATION {"citationID":"Q2oyTwp0","properties":{"formattedCitation":"(United Nations, Department of Economic and Social Affairs, &amp; Population Division, 2014)","plainCitation":"(United Nations, Department of Economic and Social Affairs, &amp; Population Division, 2014)"},"citationItems":[{"id":276,"uris":["http://zotero.org/users/3254536/items/2VWA6E3D"],"uri":["http://zotero.org/users/3254536/items/2VWA6E3D"],"itemData":{"id":276,"type":"book","title":"World urbanization prospects: the 2014 revision : highlights","source":"Open WorldCat","ISBN":"978-92-1-151517-6","note":"OCLC: 889430004","shortTitle":"World urbanization prospects","language":"English","author":[{"literal":"United Nations"},{"literal":"Department of Economic and Social Affairs"},{"literal":"Population Division"}],"issued":{"date-parts":[["2014"]]}}}],"schema":"https://github.com/citation-style-language/schema/raw/master/csl-citation.json"} </w:instrText>
      </w:r>
      <w:r w:rsidR="00A070D3" w:rsidRPr="0078472D">
        <w:fldChar w:fldCharType="separate"/>
      </w:r>
      <w:r w:rsidRPr="0078472D">
        <w:t xml:space="preserve">United Nations, Department of Economic and Social Affairs, &amp; Population Division </w:t>
      </w:r>
      <w:r w:rsidR="00CA619C">
        <w:t>(</w:t>
      </w:r>
      <w:r w:rsidRPr="0078472D">
        <w:t>2014)</w:t>
      </w:r>
      <w:r w:rsidR="00A070D3" w:rsidRPr="0078472D">
        <w:fldChar w:fldCharType="end"/>
      </w:r>
      <w:r w:rsidRPr="0078472D">
        <w:t xml:space="preserve">, more than half of the world’s population lives in urban areas nowadays, proportion </w:t>
      </w:r>
      <w:r w:rsidR="00F036F0">
        <w:t>which</w:t>
      </w:r>
      <w:r w:rsidR="00F036F0" w:rsidRPr="0078472D">
        <w:t xml:space="preserve"> </w:t>
      </w:r>
      <w:r w:rsidRPr="0078472D">
        <w:t xml:space="preserve">could increase to 66% by 2050. This increase of urbanisation is causing, on the other hand, a </w:t>
      </w:r>
      <w:r w:rsidR="00F036F0">
        <w:t>growth</w:t>
      </w:r>
      <w:r w:rsidR="00F036F0" w:rsidRPr="0078472D">
        <w:t xml:space="preserve"> </w:t>
      </w:r>
      <w:r w:rsidRPr="0078472D">
        <w:t xml:space="preserve">of urban traffic and therefore, a rise of environmental and health problems. </w:t>
      </w:r>
      <w:r w:rsidR="00A070D3" w:rsidRPr="0078472D">
        <w:fldChar w:fldCharType="begin"/>
      </w:r>
      <w:r w:rsidRPr="0078472D">
        <w:instrText xml:space="preserve"> ADDIN ZOTERO_ITEM CSL_CITATION {"citationID":"4qM0exRL","properties":{"formattedCitation":"(Mueller et al., 2016)","plainCitation":"(Mueller et al., 2016)"},"citationItems":[{"id":280,"uris":["http://zotero.org/users/3254536/items/6R7RF7A2"],"uri":["http://zotero.org/users/3254536/items/6R7RF7A2"],"itemData":{"id":280,"type":"article-journal","title":"Urban and Transport Planning Related Exposures and Mortality: A Health Impact Assessment for Cities","container-title":"Environmental Health Perspectives","volume":"125","issue":"1","source":"CrossRef","URL":"http://ehp.niehs.nih.gov/EHP220","DOI":"10.1289/EHP220","ISSN":"0091-6765","shortTitle":"Urban and Transport Planning Related Exposures and Mortality","author":[{"family":"Mueller","given":"Natalie"},{"family":"Rojas-Rueda","given":"David"},{"family":"Basagaña","given":"Xavier"},{"family":"Cirach","given":"Marta"},{"family":"Cole-Hunter","given":"Tom"},{"family":"Dadvand","given":"Payam"},{"family":"Donaire-Gonzalez","given":"David"},{"family":"Foraster","given":"Maria"},{"family":"Gascon","given":"Mireia"},{"family":"Martinez","given":"David"},{"family":"Tonne","given":"Cathryn"},{"family":"Triguero-Mas","given":"Margarita"},{"family":"Valentín","given":"Antònia"},{"family":"Nieuwenhuijsen","given":"Mark"}],"issued":{"date-parts":[["2016",6,27]]},"accessed":{"date-parts":[["2017",1,12]]}}}],"schema":"https://github.com/citation-style-language/schema/raw/master/csl-citation.json"} </w:instrText>
      </w:r>
      <w:r w:rsidR="00A070D3" w:rsidRPr="0078472D">
        <w:fldChar w:fldCharType="separate"/>
      </w:r>
      <w:r w:rsidRPr="0078472D">
        <w:t xml:space="preserve">Mueller et al. </w:t>
      </w:r>
      <w:r w:rsidR="00CA619C">
        <w:t>(</w:t>
      </w:r>
      <w:r w:rsidRPr="0078472D">
        <w:t>2016)</w:t>
      </w:r>
      <w:r w:rsidR="00A070D3" w:rsidRPr="0078472D">
        <w:fldChar w:fldCharType="end"/>
      </w:r>
      <w:r w:rsidRPr="0078472D">
        <w:t xml:space="preserve"> affirmed that there are nearly 3</w:t>
      </w:r>
      <w:r>
        <w:t>,</w:t>
      </w:r>
      <w:r w:rsidRPr="0078472D">
        <w:t>000 premature deaths per year in Barcelona (city with a population of 1</w:t>
      </w:r>
      <w:r>
        <w:t>,</w:t>
      </w:r>
      <w:r w:rsidRPr="0078472D">
        <w:t>604</w:t>
      </w:r>
      <w:r>
        <w:t>,</w:t>
      </w:r>
      <w:r w:rsidRPr="0078472D">
        <w:t xml:space="preserve">555 inhabitants </w:t>
      </w:r>
      <w:r w:rsidR="00A070D3" w:rsidRPr="0078472D">
        <w:fldChar w:fldCharType="begin"/>
      </w:r>
      <w:r w:rsidR="007A3CD8">
        <w:instrText xml:space="preserve"> ADDIN ZOTERO_ITEM CSL_CITATION {"citationID":"skpZ80ab","properties":{"formattedCitation":"(Barcelona City Council, 2016a)","plainCitation":"(Barcelona City Council, 2016a)"},"citationItems":[{"id":289,"uris":["http://zotero.org/users/3254536/items/AB5WIMMP"],"uri":["http://zotero.org/users/3254536/items/AB5WIMMP"],"itemData":{"id":289,"type":"webpage","title":"Demography and population","container-title":"Statistical yearbook of Barcelona city. Year 2016","URL":"http://www.bcn.cat/estadistica/angles/dades/anuari/cap02/C020104.htm","author":[{"family":"Barcelona City Council","given":""}],"issued":{"date-parts":[["2016"]]}}}],"schema":"https://github.com/citation-style-language/schema/raw/master/csl-citation.json"} </w:instrText>
      </w:r>
      <w:r w:rsidR="00A070D3" w:rsidRPr="0078472D">
        <w:fldChar w:fldCharType="separate"/>
      </w:r>
      <w:r w:rsidR="007A3CD8" w:rsidRPr="007A3CD8">
        <w:t>(Barcelona City Council, 2016a)</w:t>
      </w:r>
      <w:r w:rsidR="00A070D3" w:rsidRPr="0078472D">
        <w:fldChar w:fldCharType="end"/>
      </w:r>
      <w:r w:rsidRPr="0078472D">
        <w:t xml:space="preserve">), most of them because of the pollution of the city. Besides, the </w:t>
      </w:r>
      <w:r w:rsidR="00A070D3" w:rsidRPr="0078472D">
        <w:fldChar w:fldCharType="begin"/>
      </w:r>
      <w:r w:rsidRPr="0078472D">
        <w:instrText xml:space="preserve"> ADDIN ZOTERO_ITEM CSL_CITATION {"citationID":"HSPTiDZE","properties":{"formattedCitation":"(European Environment Agency, 2016)","plainCitation":"(European Environment Agency, 2016)"},"citationItems":[{"id":282,"uris":["http://zotero.org/users/3254536/items/VRSVDIN5"],"uri":["http://zotero.org/users/3254536/items/VRSVDIN5"],"itemData":{"id":282,"type":"article","title":"Air quality in Europe - 2016 report","publisher":"Luxembourg: Publications Office of the European Union","author":[{"family":"European Environment Agency","given":""}],"issued":{"date-parts":[["2016"]]}}}],"schema":"https://github.com/citation-style-language/schema/raw/master/csl-citation.json"} </w:instrText>
      </w:r>
      <w:r w:rsidR="00A070D3" w:rsidRPr="0078472D">
        <w:fldChar w:fldCharType="separate"/>
      </w:r>
      <w:r w:rsidRPr="0078472D">
        <w:t xml:space="preserve">European Environment Agency </w:t>
      </w:r>
      <w:r w:rsidR="00F036F0">
        <w:t>(</w:t>
      </w:r>
      <w:r w:rsidRPr="0078472D">
        <w:t>2016)</w:t>
      </w:r>
      <w:r w:rsidR="00A070D3" w:rsidRPr="0078472D">
        <w:fldChar w:fldCharType="end"/>
      </w:r>
      <w:r w:rsidRPr="0078472D">
        <w:t xml:space="preserve"> pointed out that air-pollution, particularly in urban areas, </w:t>
      </w:r>
      <w:r w:rsidR="00384CD3">
        <w:lastRenderedPageBreak/>
        <w:t>caused</w:t>
      </w:r>
      <w:r w:rsidRPr="0078472D">
        <w:t xml:space="preserve"> 29</w:t>
      </w:r>
      <w:r>
        <w:t>,</w:t>
      </w:r>
      <w:r w:rsidRPr="0078472D">
        <w:t>980 early deaths per year in Spain and 520</w:t>
      </w:r>
      <w:r>
        <w:t>,000 in the EU-28</w:t>
      </w:r>
      <w:r w:rsidRPr="0078472D">
        <w:t xml:space="preserve">. Although driving restrictions are being more common, it is believed that the solution to urban traffic and its associated problems will be brought by new mobility alternatives, meaning integrated shared electric and autonomous mobility services. </w:t>
      </w:r>
    </w:p>
    <w:p w:rsidR="009569CC" w:rsidRDefault="008F45F1" w:rsidP="009569CC">
      <w:pPr>
        <w:pStyle w:val="Text"/>
      </w:pPr>
      <w:r>
        <w:t>Furthermore</w:t>
      </w:r>
      <w:r w:rsidR="009569CC">
        <w:t xml:space="preserve">, the sharing economy or collaborative economy (a similar concept also used to encompass these activities) is very present nowadays in all its different forms. However, the origin is quite old, since for instance, bikesharing dates from 1960s, time banking from 1980s and the market places eBay and Craiglist from 1995 </w:t>
      </w:r>
      <w:r w:rsidR="00A070D3">
        <w:fldChar w:fldCharType="begin"/>
      </w:r>
      <w:r w:rsidR="009569CC">
        <w:instrText xml:space="preserve"> ADDIN ZOTERO_ITEM CSL_CITATION {"citationID":"587nshv0e","properties":{"formattedCitation":"(Cohen &amp; Kietzmann, 2014; Schor, 2014)","plainCitation":"(Cohen &amp; Kietzmann, 2014; Schor, 2014)"},"citationItems":[{"id":40,"uris":["http://zotero.org/users/3254536/items/4TBI8RIU"],"uri":["http://zotero.org/users/3254536/items/4TBI8RIU"],"itemData":{"id":40,"type":"article-journal","title":"Ride on! Mobility business models for the sharing economy","container-title":"Organization &amp; Environment","page":"279–296","volume":"27","issue":"3","source":"Google Scholar","author":[{"family":"Cohen","given":"Boyd"},{"family":"Kietzmann","given":"Jan"}],"issued":{"date-parts":[["2014"]]}},"label":"page"},{"id":301,"uris":["http://zotero.org/users/3254536/items/X3PNCVMC"],"uri":["http://zotero.org/users/3254536/items/X3PNCVMC"],"itemData":{"id":301,"type":"article-journal","title":"Debating the sharing economy","container-title":"Great transition initiative","source":"Google Scholar","URL":"http://www.tellus.org/pub/Schor_Debating_the_Sharing_Economy.pdf","author":[{"family":"Schor","given":"Juliet"}],"issued":{"date-parts":[["2014"]]},"accessed":{"date-parts":[["2017",1,13]]}},"label":"page"}],"schema":"https://github.com/citation-style-language/schema/raw/master/csl-citation.json"} </w:instrText>
      </w:r>
      <w:r w:rsidR="00A070D3">
        <w:fldChar w:fldCharType="separate"/>
      </w:r>
      <w:r w:rsidR="009569CC" w:rsidRPr="00E876BF">
        <w:t>(Cohen &amp; Kietzmann, 2014; Schor, 2014)</w:t>
      </w:r>
      <w:r w:rsidR="00A070D3">
        <w:fldChar w:fldCharType="end"/>
      </w:r>
      <w:r w:rsidR="009569CC">
        <w:t>. T</w:t>
      </w:r>
      <w:r w:rsidR="009569CC" w:rsidRPr="00591931">
        <w:t>he explosive growth of sharing economy activities</w:t>
      </w:r>
      <w:r w:rsidR="009569CC">
        <w:t xml:space="preserve">, which </w:t>
      </w:r>
      <w:r w:rsidR="009569CC" w:rsidRPr="00765299">
        <w:t>every passing day ha</w:t>
      </w:r>
      <w:r w:rsidR="009569CC">
        <w:t>ve</w:t>
      </w:r>
      <w:r w:rsidR="009569CC" w:rsidRPr="00765299">
        <w:t xml:space="preserve"> more followers</w:t>
      </w:r>
      <w:r w:rsidR="009569CC">
        <w:t xml:space="preserve">, is linked to the recent economic crisis. </w:t>
      </w:r>
      <w:r w:rsidR="009569CC" w:rsidRPr="00E876BF">
        <w:t xml:space="preserve">The </w:t>
      </w:r>
      <w:r w:rsidR="009354BF">
        <w:t>increasing rate of unemployment</w:t>
      </w:r>
      <w:r w:rsidR="009569CC" w:rsidRPr="00E876BF">
        <w:t xml:space="preserve">, the </w:t>
      </w:r>
      <w:r w:rsidR="009354BF">
        <w:t>growth</w:t>
      </w:r>
      <w:r w:rsidR="009354BF" w:rsidRPr="00E876BF">
        <w:t xml:space="preserve"> </w:t>
      </w:r>
      <w:r w:rsidR="009569CC" w:rsidRPr="00E876BF">
        <w:t>of precarious jobs and the loss of consumer purchasing power encouraged the adoption of this lifestyle</w:t>
      </w:r>
      <w:r w:rsidR="00B237FA">
        <w:t xml:space="preserve"> economy</w:t>
      </w:r>
      <w:r w:rsidR="009569CC" w:rsidRPr="00E876BF">
        <w:t xml:space="preserve">. </w:t>
      </w:r>
      <w:r w:rsidR="009569CC" w:rsidRPr="00DD03CA">
        <w:t xml:space="preserve">Although sharing as alternative to ownership is not a new concept, Internet and mobile technology (facilitators of </w:t>
      </w:r>
      <w:r w:rsidR="00F52E6E" w:rsidRPr="00F52E6E">
        <w:t xml:space="preserve">Peer-to-Peer </w:t>
      </w:r>
      <w:r w:rsidR="00F52E6E">
        <w:t>(</w:t>
      </w:r>
      <w:r w:rsidR="009569CC">
        <w:t>P2P</w:t>
      </w:r>
      <w:r w:rsidR="00F52E6E">
        <w:t>)</w:t>
      </w:r>
      <w:r w:rsidR="009569CC" w:rsidRPr="00DD03CA">
        <w:t xml:space="preserve"> platforms) have turned shar</w:t>
      </w:r>
      <w:r w:rsidR="009569CC">
        <w:t>ing economy into a big business,</w:t>
      </w:r>
      <w:r w:rsidR="009569CC" w:rsidRPr="00DD03CA">
        <w:t xml:space="preserve"> </w:t>
      </w:r>
      <w:r w:rsidR="009569CC">
        <w:t>t</w:t>
      </w:r>
      <w:r w:rsidR="009569CC" w:rsidRPr="002453FC">
        <w:t xml:space="preserve">he rapid growth and expansion of companies such as Uber in the urban transportation sector </w:t>
      </w:r>
      <w:r w:rsidR="00B237FA">
        <w:t>or</w:t>
      </w:r>
      <w:r w:rsidR="00B237FA" w:rsidRPr="002453FC">
        <w:t xml:space="preserve"> </w:t>
      </w:r>
      <w:r w:rsidR="009569CC" w:rsidRPr="002453FC">
        <w:t>Airbnb in the accommodation sector are disrupting not only the traditional service industry but</w:t>
      </w:r>
      <w:r w:rsidR="00B237FA">
        <w:t xml:space="preserve"> also</w:t>
      </w:r>
      <w:r w:rsidR="009569CC" w:rsidRPr="002453FC">
        <w:t xml:space="preserve"> </w:t>
      </w:r>
      <w:r w:rsidR="009569CC">
        <w:t xml:space="preserve">long-established firms </w:t>
      </w:r>
      <w:r w:rsidR="00A070D3">
        <w:fldChar w:fldCharType="begin"/>
      </w:r>
      <w:r w:rsidR="009569CC">
        <w:instrText xml:space="preserve"> ADDIN ZOTERO_ITEM CSL_CITATION {"citationID":"W7OYyPDn","properties":{"formattedCitation":"(Cannon &amp; Summers, 2014)","plainCitation":"(Cannon &amp; Summers, 2014)"},"citationItems":[{"id":304,"uris":["http://zotero.org/users/3254536/items/HQJWSW7S"],"uri":["http://zotero.org/users/3254536/items/HQJWSW7S"],"itemData":{"id":304,"type":"webpage","title":"How Uber and the Sharing Economy Can Win Over Regulators","URL":"https://hbr.org/2014/10/how-uber-and-the-sharing-economy-can-win-over-regulators","author":[{"family":"Cannon","given":"Sarah"},{"family":"Summers","given":"Lawrence H."}],"issued":{"date-parts":[["2014",10,13]]},"accessed":{"date-parts":[["2017",1,13]]}}}],"schema":"https://github.com/citation-style-language/schema/raw/master/csl-citation.json"} </w:instrText>
      </w:r>
      <w:r w:rsidR="00A070D3">
        <w:fldChar w:fldCharType="separate"/>
      </w:r>
      <w:r w:rsidR="009569CC" w:rsidRPr="00E876BF">
        <w:t>(Cannon &amp; Summers, 2014)</w:t>
      </w:r>
      <w:r w:rsidR="00A070D3">
        <w:fldChar w:fldCharType="end"/>
      </w:r>
      <w:r w:rsidR="009569CC">
        <w:t>.</w:t>
      </w:r>
    </w:p>
    <w:p w:rsidR="00ED4767" w:rsidRDefault="00A57153" w:rsidP="009569CC">
      <w:pPr>
        <w:pStyle w:val="Text"/>
      </w:pPr>
      <w:r>
        <w:t>P</w:t>
      </w:r>
      <w:r w:rsidR="00ED4767">
        <w:t>ublic transport does not cover, anywhere, the totality of the travellers’ needs and, in big cities, neither does the private transport nor the combination of both</w:t>
      </w:r>
      <w:r w:rsidR="003228E7">
        <w:t xml:space="preserve">. </w:t>
      </w:r>
      <w:r>
        <w:t>At present, automotive manufacturers and other mobility service providers are trying to cover t</w:t>
      </w:r>
      <w:r w:rsidR="003228E7">
        <w:t>his</w:t>
      </w:r>
      <w:r w:rsidR="00ED4767">
        <w:t xml:space="preserve"> gap for the new on-demand, shared and sustainable </w:t>
      </w:r>
      <w:r>
        <w:t xml:space="preserve">transport </w:t>
      </w:r>
      <w:r w:rsidR="00ED4767">
        <w:t>services</w:t>
      </w:r>
      <w:r>
        <w:t xml:space="preserve">. </w:t>
      </w:r>
      <w:r w:rsidR="00ED4767">
        <w:t xml:space="preserve">Coming from the premise that it starts to be a big number of emerging services competing in this field, some of them already very extended such as the “ride-hailings” Uber and Lyft or the “carsharings” car2go and Zipcar, probably soon </w:t>
      </w:r>
      <w:r w:rsidR="00B368B6">
        <w:t xml:space="preserve">there </w:t>
      </w:r>
      <w:r w:rsidR="00ED4767">
        <w:t xml:space="preserve">will </w:t>
      </w:r>
      <w:r w:rsidR="00B368B6">
        <w:t xml:space="preserve">be </w:t>
      </w:r>
      <w:r w:rsidR="00ED4767">
        <w:t xml:space="preserve">a lot of competition in our cities. </w:t>
      </w:r>
      <w:r w:rsidR="00B368B6">
        <w:t xml:space="preserve">The question is, </w:t>
      </w:r>
      <w:r w:rsidR="00ED4767">
        <w:t xml:space="preserve">how many of these services will succeed? For the moment, most of them are based on the sharing and circular economy, offer a similar user experience and have similar business models. Predictably, some </w:t>
      </w:r>
      <w:r w:rsidR="00B368B6">
        <w:t xml:space="preserve">decisive </w:t>
      </w:r>
      <w:r w:rsidR="00ED4767">
        <w:t xml:space="preserve">factors such as the cost, trust and convenience, should be taken into consideration in the service design. But what other aspects also have to be considered? </w:t>
      </w:r>
    </w:p>
    <w:p w:rsidR="009569CC" w:rsidRDefault="009569CC" w:rsidP="009569CC">
      <w:pPr>
        <w:pStyle w:val="Text"/>
      </w:pPr>
      <w:r w:rsidRPr="00D966EB">
        <w:t xml:space="preserve">From literature it is found that new mobility services should merge the benefits that offers having an owned car, in terms of convenience, freedom, control, comfort and flexibility, and the positive aspects of public transportation, </w:t>
      </w:r>
      <w:r w:rsidR="00D26FC4">
        <w:t xml:space="preserve">for </w:t>
      </w:r>
      <w:r w:rsidR="00D26FC4">
        <w:lastRenderedPageBreak/>
        <w:t>instance,</w:t>
      </w:r>
      <w:r w:rsidRPr="00D966EB">
        <w:t xml:space="preserve"> affordability, efficiency and sustainability </w:t>
      </w:r>
      <w:r w:rsidR="00A070D3" w:rsidRPr="00D966EB">
        <w:fldChar w:fldCharType="begin"/>
      </w:r>
      <w:r w:rsidRPr="00D966EB">
        <w:instrText xml:space="preserve"> ADDIN ZOTERO_ITEM CSL_CITATION {"citationID":"1h4du98qbm","properties":{"unsorted":true,"formattedCitation":"(Hietanen, 2017; Villalante, 2017; UITP, 2017; McKinsey &amp; Company, 2015; EY Global Automotive Center, 2013; Fishman, 2012; Okuda, Hirasawa, Matsukuma, Fukumoto, &amp; Shimura, 2012)","plainCitation":"(Hietanen, 2017; Villalante, 2017; UITP, 2017; McKinsey &amp; Company, 2015; EY Global Automotive Center, 2013; Fishman, 2012; Okuda, Hirasawa, Matsukuma, Fukumoto, &amp; Shimura, 2012)"},"citationItems":[{"id":396,"uris":["http://zotero.org/users/3254536/items/DJ4MWQ82"],"uri":["http://zotero.org/users/3254536/items/DJ4MWQ82"],"itemData":{"id":396,"type":"speech","title":"Mobility as a Service: does it change the world and when?","publisher-place":"Barcelona","event":"VIII Conference of ITS in Catalonia","event-place":"Barcelona","author":[{"family":"Hietanen","given":"Sampo"}],"issued":{"date-parts":[["2017",2,2]]}},"label":"page"},{"id":467,"uris":["http://zotero.org/users/3254536/items/2XJR7QRS"],"uri":["http://zotero.org/users/3254536/items/2XJR7QRS"],"itemData":{"id":467,"type":"speech","title":"MaaS : un nuevo paradigma de gobernanza","publisher-place":"Barcelona","event":"VIII Conference of ITS in Catalonia","event-place":"Barcelona","author":[{"family":"Villalante","given":"Manel"}],"issued":{"date-parts":[["2017",2,2]]}},"label":"page"},{"id":376,"uris":["http://zotero.org/users/3254536/items/8EWBHIIE"],"uri":["http://zotero.org/users/3254536/items/8EWBHIIE"],"itemData":{"id":376,"type":"article","title":"Autonomous vehicles: a potential game changer for urban mobility","publisher":"International Association of Public Transport","author":[{"family":"UITP","given":""}],"issued":{"date-parts":[["2017",1]]}},"label":"page"},{"id":535,"uris":["http://zotero.org/users/3254536/items/6NVCMVDM"],"uri":["http://zotero.org/users/3254536/items/6NVCMVDM"],"itemData":{"id":535,"type":"article","title":"Competing for the connected customer - perspectives on the opportunities created by car connectivity and automation","publisher":"McKinsey &amp; Company","author":[{"family":"McKinsey &amp; Company","given":""}],"issued":{"date-parts":[["2015",9]]}},"label":"page"},{"id":564,"uris":["http://zotero.org/users/3254536/items/RU9PSDBT"],"uri":["http://zotero.org/users/3254536/items/RU9PSDBT"],"itemData":{"id":564,"type":"article","title":"Urban mobility blueprint: Business strategies in an emerging ecosystem","publisher":"EY","author":[{"family":"EY Global Automotive Center","given":""}],"issued":{"date-parts":[["2013"]]}},"label":"page"},{"id":537,"uris":["http://zotero.org/users/3254536/items/76P5SA2D"],"uri":["http://zotero.org/users/3254536/items/76P5SA2D"],"itemData":{"id":537,"type":"article","title":"Digital-Age Transportation: The Future of Urban Mobility","publisher":"Deloitte University Press","URL":"https://dupress.deloitte.com/dup-us-en/industry/automotive/digital-age-transportation.html","author":[{"family":"Fishman","given":"Tiffany"}],"issued":{"date-parts":[["2012"]]}},"label":"page"},{"id":432,"uris":["http://zotero.org/users/3254536/items/D3TXSG4C"],"uri":["http://zotero.org/users/3254536/items/D3TXSG4C"],"itemData":{"id":432,"type":"article-magazine","title":"Smart Mobility for Smart Cities","container-title":"Hitachi Review","page":"141-146","volume":"61","issue":"3","language":"en","author":[{"family":"Okuda","given":"Tatsuo"},{"family":"Hirasawa","given":"Shigeki"},{"family":"Matsukuma","given":"Nobuhiko"},{"family":"Fukumoto","given":"Takashi"},{"family":"Shimura","given":"Akitoshi"}],"issued":{"date-parts":[["2012",5]]}},"label":"page"}],"schema":"https://github.com/citation-style-language/schema/raw/master/csl-citation.json"} </w:instrText>
      </w:r>
      <w:r w:rsidR="00A070D3" w:rsidRPr="00D966EB">
        <w:fldChar w:fldCharType="separate"/>
      </w:r>
      <w:r w:rsidRPr="00D966EB">
        <w:t>(Hietanen, 2017; Villalante, 2017; UITP, 2017; McKinsey &amp; Company, 2015; EY Global Automotive Center, 2013; Fishman, 2012; Okuda, Hirasawa, Matsukuma, Fukumoto, &amp; Shimura, 2012)</w:t>
      </w:r>
      <w:r w:rsidR="00A070D3" w:rsidRPr="00D966EB">
        <w:fldChar w:fldCharType="end"/>
      </w:r>
      <w:r w:rsidRPr="00D966EB">
        <w:t xml:space="preserve">. Furthermore, all authors believe in multimodal and integrated services with the public transport offer, evolving to the Mobility-as-a-Service (MaaS) model. Some MaaS initiatives are just beginning to be implemented, such as moovel (mainly in Germany, but only offers integration with public transport in Stuttgart and Hamburg) and Whim, operating since 2016 but only in Helsinki </w:t>
      </w:r>
      <w:r w:rsidR="00A070D3" w:rsidRPr="00D966EB">
        <w:fldChar w:fldCharType="begin"/>
      </w:r>
      <w:r w:rsidRPr="00D966EB">
        <w:instrText xml:space="preserve"> ADDIN ZOTERO_ITEM CSL_CITATION {"citationID":"7qmaub956","properties":{"formattedCitation":"(moovel, 2017; Whim, 2016)","plainCitation":"(moovel, 2017; Whim, 2016)"},"citationItems":[{"id":472,"uris":["http://zotero.org/users/3254536/items/H2NHRBRF"],"uri":["http://zotero.org/users/3254536/items/H2NHRBRF"],"itemData":{"id":472,"type":"webpage","title":"moovel my way","container-title":"The mobility app for your city","URL":"https://www.moovel.com","author":[{"family":"moovel","given":""}],"issued":{"date-parts":[["2017"]]},"accessed":{"date-parts":[["2017",3,6]]}},"label":"page"},{"id":469,"uris":["http://zotero.org/users/3254536/items/M69DNM2J"],"uri":["http://zotero.org/users/3254536/items/M69DNM2J"],"itemData":{"id":469,"type":"webpage","title":"Whim travel by MaaS Global","genre":"Whim","URL":"https://whimapp.com/fi-en/","author":[{"family":"Whim","given":""}],"issued":{"date-parts":[["2016"]]},"accessed":{"date-parts":[["2017",3,6]]}},"label":"page"}],"schema":"https://github.com/citation-style-language/schema/raw/master/csl-citation.json"} </w:instrText>
      </w:r>
      <w:r w:rsidR="00A070D3" w:rsidRPr="00D966EB">
        <w:fldChar w:fldCharType="separate"/>
      </w:r>
      <w:r w:rsidRPr="00D966EB">
        <w:t>(moovel, 2017; Whim, 2016)</w:t>
      </w:r>
      <w:r w:rsidR="00A070D3" w:rsidRPr="00D966EB">
        <w:fldChar w:fldCharType="end"/>
      </w:r>
      <w:r w:rsidRPr="00D966EB">
        <w:t xml:space="preserve">. </w:t>
      </w:r>
    </w:p>
    <w:p w:rsidR="009569CC" w:rsidRPr="00D966EB" w:rsidRDefault="009569CC" w:rsidP="00690D83">
      <w:pPr>
        <w:pStyle w:val="Ttulo1"/>
        <w:numPr>
          <w:ilvl w:val="0"/>
          <w:numId w:val="1"/>
        </w:numPr>
        <w:ind w:left="0" w:hanging="567"/>
      </w:pPr>
      <w:r>
        <w:t>CASE STUDY</w:t>
      </w:r>
    </w:p>
    <w:p w:rsidR="009569CC" w:rsidRDefault="009569CC" w:rsidP="009569CC">
      <w:pPr>
        <w:pStyle w:val="Text"/>
      </w:pPr>
      <w:r>
        <w:t xml:space="preserve">The study developed was based in Barcelona, which is a top Smart City according to Juniper Research’s ranking </w:t>
      </w:r>
      <w:r w:rsidR="00A070D3">
        <w:fldChar w:fldCharType="begin"/>
      </w:r>
      <w:r>
        <w:instrText xml:space="preserve"> ADDIN ZOTERO_ITEM CSL_CITATION {"citationID":"29fqddsavc","properties":{"formattedCitation":"(Juniper Research, 2015, 2016)","plainCitation":"(Juniper Research, 2015, 2016)"},"citationItems":[{"id":425,"uris":["http://zotero.org/users/3254536/items/VCMDTRTH"],"uri":["http://zotero.org/users/3254536/items/VCMDTRTH"],"itemData":{"id":425,"type":"webpage","title":"Barcelona Named ‘Global Smart City – 2015’","container-title":"Juniper Research","URL":"https://www.juniperresearch.com/press/press-releases/barcelona-named-global-smart-city-2015","author":[{"family":"Juniper Research","given":""}],"issued":{"date-parts":[["2015"]]},"accessed":{"date-parts":[["2017",2,17]]}},"label":"page"},{"id":423,"uris":["http://zotero.org/users/3254536/items/TH5IQW5M"],"uri":["http://zotero.org/users/3254536/items/TH5IQW5M"],"itemData":{"id":423,"type":"webpage","title":"Singapore Named ‘Global Smart City – 2016’","container-title":"Juniper Research","URL":"https://www.juniperresearch.com/press/press-releases/singapore-named-global-smart-city-2016","author":[{"family":"Juniper Research","given":""}],"issued":{"date-parts":[["2016"]]},"accessed":{"date-parts":[["2017",2,17]]}},"label":"page"}],"schema":"https://github.com/citation-style-language/schema/raw/master/csl-citation.json"} </w:instrText>
      </w:r>
      <w:r w:rsidR="00A070D3">
        <w:fldChar w:fldCharType="separate"/>
      </w:r>
      <w:r w:rsidRPr="00851B20">
        <w:t>(Juniper Research, 2015, 2016)</w:t>
      </w:r>
      <w:r w:rsidR="00A070D3">
        <w:fldChar w:fldCharType="end"/>
      </w:r>
      <w:r>
        <w:t xml:space="preserve"> and where right now a lot of measures for improving the sustainability have been announced</w:t>
      </w:r>
      <w:r w:rsidR="00F61A7C">
        <w:t xml:space="preserve">. One of them is the restriction of </w:t>
      </w:r>
      <w:r>
        <w:t>most polluting vehicles travel</w:t>
      </w:r>
      <w:r w:rsidR="00F61A7C">
        <w:t>ling</w:t>
      </w:r>
      <w:r>
        <w:t xml:space="preserve"> within the city </w:t>
      </w:r>
      <w:r w:rsidR="00F61A7C">
        <w:t xml:space="preserve">during </w:t>
      </w:r>
      <w:r>
        <w:t xml:space="preserve">the days with high </w:t>
      </w:r>
      <w:r w:rsidR="00F61A7C">
        <w:t xml:space="preserve">air pollution </w:t>
      </w:r>
      <w:r>
        <w:t>and the</w:t>
      </w:r>
      <w:r w:rsidR="00F61A7C">
        <w:t xml:space="preserve">ir </w:t>
      </w:r>
      <w:r>
        <w:t xml:space="preserve">total </w:t>
      </w:r>
      <w:r w:rsidR="00F61A7C">
        <w:t xml:space="preserve">restriction </w:t>
      </w:r>
      <w:r>
        <w:t>from 2020</w:t>
      </w:r>
      <w:r w:rsidR="00F61A7C">
        <w:t xml:space="preserve"> onwards</w:t>
      </w:r>
      <w:r>
        <w:t xml:space="preserve"> </w:t>
      </w:r>
      <w:r w:rsidR="00A070D3">
        <w:fldChar w:fldCharType="begin"/>
      </w:r>
      <w:r>
        <w:instrText xml:space="preserve"> ADDIN ZOTERO_ITEM CSL_CITATION {"citationID":"RANyzfaV","properties":{"formattedCitation":"(Guerrero, 2016)","plainCitation":"(Guerrero, 2016)"},"citationItems":[{"id":526,"uris":["http://zotero.org/users/3254536/items/43C7AFJ2"],"uri":["http://zotero.org/users/3254536/items/43C7AFJ2"],"itemData":{"id":526,"type":"webpage","title":"Barcelona restringirá la circulación de los vehículos más contaminantes de forma permanente a partir de 2020","container-title":"La Vanguardia","URL":"http://www.lavanguardia.com/local/barcelona/20161121/412028354146/barcelona-restricciones-coches-mas-contaminantes-2020.html","author":[{"family":"Guerrero","given":"David"}],"issued":{"date-parts":[["2016",11,21]]},"accessed":{"date-parts":[["2017",3,9]]}}}],"schema":"https://github.com/citation-style-language/schema/raw/master/csl-citation.json"} </w:instrText>
      </w:r>
      <w:r w:rsidR="00A070D3">
        <w:fldChar w:fldCharType="separate"/>
      </w:r>
      <w:r w:rsidRPr="00851B20">
        <w:t>(Guerrero, 2016)</w:t>
      </w:r>
      <w:r w:rsidR="00A070D3">
        <w:fldChar w:fldCharType="end"/>
      </w:r>
      <w:r>
        <w:t xml:space="preserve">. </w:t>
      </w:r>
    </w:p>
    <w:p w:rsidR="009569CC" w:rsidRDefault="009569CC" w:rsidP="009569CC">
      <w:pPr>
        <w:pStyle w:val="Text"/>
      </w:pPr>
      <w:r>
        <w:t>Within the city, m</w:t>
      </w:r>
      <w:r w:rsidRPr="00D966EB">
        <w:t>obility due to personal reasons doubles occupational mobility</w:t>
      </w:r>
      <w:r>
        <w:t xml:space="preserve"> (7.4</w:t>
      </w:r>
      <w:r w:rsidRPr="00D966EB">
        <w:t xml:space="preserve"> </w:t>
      </w:r>
      <w:r>
        <w:t xml:space="preserve">million trips per day vs 3.2 million), </w:t>
      </w:r>
      <w:r w:rsidRPr="00D966EB">
        <w:t>though the 59</w:t>
      </w:r>
      <w:r>
        <w:t>.</w:t>
      </w:r>
      <w:r w:rsidRPr="00D966EB">
        <w:t xml:space="preserve">7% of trips done for personal reasons are done on foot </w:t>
      </w:r>
      <w:r>
        <w:t>and</w:t>
      </w:r>
      <w:r w:rsidRPr="00D966EB">
        <w:t xml:space="preserve"> by bike,</w:t>
      </w:r>
      <w:r>
        <w:t xml:space="preserve"> the 11.3% by public transport and the remaining 28.9%</w:t>
      </w:r>
      <w:r w:rsidRPr="00D966EB">
        <w:t xml:space="preserve"> </w:t>
      </w:r>
      <w:r>
        <w:t xml:space="preserve">by private vehicles; </w:t>
      </w:r>
      <w:r w:rsidR="00317804">
        <w:t>whereas</w:t>
      </w:r>
      <w:r w:rsidRPr="00D966EB">
        <w:t xml:space="preserve"> the 49</w:t>
      </w:r>
      <w:r>
        <w:t>.</w:t>
      </w:r>
      <w:r w:rsidRPr="00D966EB">
        <w:t>4% of commuting trips are done by private cars and motorbikes</w:t>
      </w:r>
      <w:r>
        <w:t>, the 29.6%</w:t>
      </w:r>
      <w:r w:rsidRPr="00D966EB">
        <w:t xml:space="preserve"> </w:t>
      </w:r>
      <w:r>
        <w:t xml:space="preserve">by public transport and the remaining 21% by non-motorised means </w:t>
      </w:r>
      <w:r w:rsidR="00A070D3">
        <w:fldChar w:fldCharType="begin"/>
      </w:r>
      <w:r>
        <w:instrText xml:space="preserve"> ADDIN ZOTERO_ITEM CSL_CITATION {"citationID":"miMXuy0t","properties":{"formattedCitation":"(Barcelona Institute of Regional and Metropolitan Studies, 2016)","plainCitation":"(Barcelona Institute of Regional and Metropolitan Studies, 2016)"},"citationItems":[{"id":642,"uris":["http://zotero.org/users/3254536/items/SA936VGV"],"uri":["http://zotero.org/users/3254536/items/SA936VGV"],"itemData":{"id":642,"type":"article","title":"Workday Mobility Survey in the RMB, 2015","URL":"http://www.atm.cat/web/ca/EMEF.php","author":[{"literal":"Barcelona Institute of Regional and Metropolitan Studies"}],"issued":{"date-parts":[["2016"]]},"accessed":{"date-parts":[["2017",3,20]]}}}],"schema":"https://github.com/citation-style-language/schema/raw/master/csl-citation.json"} </w:instrText>
      </w:r>
      <w:r w:rsidR="00A070D3">
        <w:fldChar w:fldCharType="separate"/>
      </w:r>
      <w:r w:rsidRPr="005A5354">
        <w:t>(Barcelona Institute of Regional and Metropolitan Studies, 2016)</w:t>
      </w:r>
      <w:r w:rsidR="00A070D3">
        <w:fldChar w:fldCharType="end"/>
      </w:r>
      <w:r>
        <w:t>. Besides, on a working day, more than one million vehicles enter</w:t>
      </w:r>
      <w:r w:rsidR="009D32B3">
        <w:t>s</w:t>
      </w:r>
      <w:r>
        <w:t xml:space="preserve"> and leave</w:t>
      </w:r>
      <w:r w:rsidR="009D32B3">
        <w:t>s</w:t>
      </w:r>
      <w:r>
        <w:t xml:space="preserve"> Barcelona </w:t>
      </w:r>
      <w:r w:rsidR="00A070D3">
        <w:fldChar w:fldCharType="begin"/>
      </w:r>
      <w:r w:rsidR="007A3CD8">
        <w:instrText xml:space="preserve"> ADDIN ZOTERO_ITEM CSL_CITATION {"citationID":"mgX57joS","properties":{"formattedCitation":"(Barcelona City Council, 2016b)","plainCitation":"(Barcelona City Council, 2016b)"},"citationItems":[{"id":652,"uris":["http://zotero.org/users/3254536/items/SJUZZFKC"],"uri":["http://zotero.org/users/3254536/items/SJUZZFKC"],"itemData":{"id":652,"type":"webpage","title":"Traffic volume at the entrances to the city. 2011-2015","container-title":"Statistical yearbook of Barcelona city. Year 2016","URL":"http://www.bcn.cat/estadistica/angles/dades/anuari/cap15/C1511010.htm","author":[{"literal":"Barcelona City Council"}],"issued":{"date-parts":[["2016"]]},"accessed":{"date-parts":[["2017",8,8]]}}}],"schema":"https://github.com/citation-style-language/schema/raw/master/csl-citation.json"} </w:instrText>
      </w:r>
      <w:r w:rsidR="00A070D3">
        <w:fldChar w:fldCharType="separate"/>
      </w:r>
      <w:r w:rsidR="007A3CD8" w:rsidRPr="007A3CD8">
        <w:t>(Barcelona City Council, 2016b)</w:t>
      </w:r>
      <w:r w:rsidR="00A070D3">
        <w:fldChar w:fldCharType="end"/>
      </w:r>
      <w:r>
        <w:t xml:space="preserve">. </w:t>
      </w:r>
    </w:p>
    <w:p w:rsidR="009569CC" w:rsidRDefault="009569CC" w:rsidP="009569CC">
      <w:pPr>
        <w:pStyle w:val="Text"/>
      </w:pPr>
      <w:r>
        <w:t xml:space="preserve">The high use of non-motorised transport for personal mobility is very common in dense cities, since travel distances tend to be shorter </w:t>
      </w:r>
      <w:r w:rsidR="00A070D3">
        <w:fldChar w:fldCharType="begin"/>
      </w:r>
      <w:r>
        <w:instrText xml:space="preserve"> ADDIN ZOTERO_ITEM CSL_CITATION {"citationID":"Pn1aPZmB","properties":{"formattedCitation":"(Kenworthy, 2006)","plainCitation":"(Kenworthy, 2006)"},"citationItems":[{"id":656,"uris":["http://zotero.org/users/3254536/items/DMS4SJQD"],"uri":["http://zotero.org/users/3254536/items/DMS4SJQD"],"itemData":{"id":656,"type":"article-journal","title":"The eco-city: ten key transport and planning dimensions for sustainable city development","container-title":"Environment and Urbanization","page":"67-85","volume":"18","issue":"1","source":"CrossRef","DOI":"10.1177/0956247806063947","ISSN":"0956-2478, 1746-0301","shortTitle":"The eco-city","language":"en","author":[{"family":"Kenworthy","given":"Jeffrey R"}],"issued":{"date-parts":[["2006",4]]}}}],"schema":"https://github.com/citation-style-language/schema/raw/master/csl-citation.json"} </w:instrText>
      </w:r>
      <w:r w:rsidR="00A070D3">
        <w:fldChar w:fldCharType="separate"/>
      </w:r>
      <w:r w:rsidRPr="00CD0BB5">
        <w:t>(Kenworthy, 2006)</w:t>
      </w:r>
      <w:r w:rsidR="00A070D3">
        <w:fldChar w:fldCharType="end"/>
      </w:r>
      <w:r>
        <w:t xml:space="preserve">. According to a Eurostat study, the metropolitan Barcelona region is the 6th largest urban area in the European Union, behind London, Paris, Madrid, Ruhrgebiet and Berlin </w:t>
      </w:r>
      <w:r w:rsidR="00A070D3">
        <w:fldChar w:fldCharType="begin"/>
      </w:r>
      <w:r>
        <w:instrText xml:space="preserve"> ADDIN ZOTERO_ITEM CSL_CITATION {"citationID":"3UM7hl39","properties":{"formattedCitation":"(Koceva et al., 2016)","plainCitation":"(Koceva et al., 2016)"},"citationItems":[{"id":650,"uris":["http://zotero.org/users/3254536/items/GX2H6R2M"],"uri":["http://zotero.org/users/3254536/items/GX2H6R2M"],"itemData":{"id":650,"type":"book","title":"Urban Europe: statistics on cities, towns and suburbs","collection-title":"Statistical books / Eurostat","publisher":"Publications Office of the European Union","publisher-place":"Luxembourg","number-of-pages":"282","edition":"2016 edition","source":"Gemeinsamer Bibliotheksverbund ISBN","event-place":"Luxembourg","ISBN":"978-92-79-60139-2","note":"OCLC: 960850133","shortTitle":"Urban Europe","language":"eng","editor":[{"family":"Koceva","given":"Mariana M."},{"family":"Brandmüller","given":"Teodóra"},{"family":"Lupu","given":"Iuliana"},{"family":"Önnerfors","given":"Åsa"},{"family":"Corselli-Nordblad","given":"Louise"},{"family":"Coyette","given":"Catherine"},{"family":"Johansson","given":"Annika"},{"family":"Strandell","given":"Helene"},{"family":"Wolff","given":"Pascal"},{"literal":"Europäische Kommission"}],"issued":{"date-parts":[["2016"]]}}}],"schema":"https://github.com/citation-style-language/schema/raw/master/csl-citation.json"} </w:instrText>
      </w:r>
      <w:r w:rsidR="00A070D3">
        <w:fldChar w:fldCharType="separate"/>
      </w:r>
      <w:r w:rsidRPr="00F62E07">
        <w:t>(Koceva et al., 2016)</w:t>
      </w:r>
      <w:r w:rsidR="00A070D3">
        <w:fldChar w:fldCharType="end"/>
      </w:r>
      <w:r>
        <w:t xml:space="preserve">. This study also indicates that this region records two of the three highest levels of population density in the EU-28. The highest ratio is located within l’Hospitalet de Llobregat, with </w:t>
      </w:r>
      <w:r w:rsidRPr="00D54CC6">
        <w:t>53</w:t>
      </w:r>
      <w:r>
        <w:t>,</w:t>
      </w:r>
      <w:r w:rsidRPr="00D54CC6">
        <w:t>119</w:t>
      </w:r>
      <w:r>
        <w:t xml:space="preserve"> inhabitants/km², and the third highest ratio within Badalona, with 50,287 inhabitants/km², behind the 18th arrondissement in Paris (52,218 inhabitants/km²) </w:t>
      </w:r>
      <w:r w:rsidR="00A070D3">
        <w:fldChar w:fldCharType="begin"/>
      </w:r>
      <w:r>
        <w:instrText xml:space="preserve"> ADDIN ZOTERO_ITEM CSL_CITATION {"citationID":"A82dI0kq","properties":{"formattedCitation":"(Koceva et al., 2016)","plainCitation":"(Koceva et al., 2016)"},"citationItems":[{"id":650,"uris":["http://zotero.org/users/3254536/items/GX2H6R2M"],"uri":["http://zotero.org/users/3254536/items/GX2H6R2M"],"itemData":{"id":650,"type":"book","title":"Urban Europe: statistics on cities, towns and suburbs","collection-title":"Statistical books / Eurostat","publisher":"Publications Office of the European Union","publisher-place":"Luxembourg","number-of-pages":"282","edition":"2016 edition","source":"Gemeinsamer Bibliotheksverbund ISBN","event-place":"Luxembourg","ISBN":"978-92-79-60139-2","note":"OCLC: 960850133","shortTitle":"Urban Europe","language":"eng","editor":[{"family":"Koceva","given":"Mariana M."},{"family":"Brandmüller","given":"Teodóra"},{"family":"Lupu","given":"Iuliana"},{"family":"Önnerfors","given":"Åsa"},{"family":"Corselli-Nordblad","given":"Louise"},{"family":"Coyette","given":"Catherine"},{"family":"Johansson","given":"Annika"},{"family":"Strandell","given":"Helene"},{"family":"Wolff","given":"Pascal"},{"literal":"Europäische Kommission"}],"issued":{"date-parts":[["2016"]]}}}],"schema":"https://github.com/citation-style-language/schema/raw/master/csl-citation.json"} </w:instrText>
      </w:r>
      <w:r w:rsidR="00A070D3">
        <w:fldChar w:fldCharType="separate"/>
      </w:r>
      <w:r w:rsidRPr="000F117A">
        <w:t>(Koceva et al., 2016)</w:t>
      </w:r>
      <w:r w:rsidR="00A070D3">
        <w:fldChar w:fldCharType="end"/>
      </w:r>
      <w:r>
        <w:t xml:space="preserve">. </w:t>
      </w:r>
    </w:p>
    <w:p w:rsidR="009569CC" w:rsidRDefault="009569CC" w:rsidP="009569CC">
      <w:pPr>
        <w:pStyle w:val="Text"/>
      </w:pPr>
      <w:r w:rsidRPr="00CC4F77">
        <w:lastRenderedPageBreak/>
        <w:t>Regarding new mobility services</w:t>
      </w:r>
      <w:r>
        <w:t xml:space="preserve"> operating in Barcelona, there is starting to be a variety of services: MyTaxi-Hailo, which is a taxi-hailing service; Cabify, which is a singular ride-hailing service operating </w:t>
      </w:r>
      <w:r w:rsidR="00D645D6">
        <w:t xml:space="preserve">in the city </w:t>
      </w:r>
      <w:r>
        <w:t>with</w:t>
      </w:r>
      <w:r w:rsidR="00F16C7E">
        <w:t xml:space="preserve"> </w:t>
      </w:r>
      <w:r w:rsidR="00F16C7E" w:rsidRPr="00F16C7E">
        <w:t>Chauffeured Tourism Vehicle</w:t>
      </w:r>
      <w:r>
        <w:t xml:space="preserve"> </w:t>
      </w:r>
      <w:r w:rsidR="00F16C7E">
        <w:t>(</w:t>
      </w:r>
      <w:r>
        <w:t>VTC</w:t>
      </w:r>
      <w:r w:rsidR="00F16C7E">
        <w:t>)</w:t>
      </w:r>
      <w:r>
        <w:t xml:space="preserve"> licences; Avancar and Bluemove, both </w:t>
      </w:r>
      <w:r w:rsidR="00F52E6E" w:rsidRPr="00F52E6E">
        <w:t xml:space="preserve">Business-to-Consumer </w:t>
      </w:r>
      <w:r w:rsidR="00F52E6E">
        <w:t>(</w:t>
      </w:r>
      <w:r>
        <w:t>B2C</w:t>
      </w:r>
      <w:r w:rsidR="00F52E6E">
        <w:t>)</w:t>
      </w:r>
      <w:r>
        <w:t xml:space="preserve"> carsharing companies; SocialCar, Drivy and Amovens, the three of them offering P2P carsharing services; and the B2C electric motosharing services e</w:t>
      </w:r>
      <w:r w:rsidRPr="002E5F05">
        <w:t xml:space="preserve">Cooltra, </w:t>
      </w:r>
      <w:r>
        <w:t xml:space="preserve">Yugo, </w:t>
      </w:r>
      <w:r w:rsidRPr="00090F9D">
        <w:rPr>
          <w:lang w:val="en-US"/>
        </w:rPr>
        <w:t>Motit</w:t>
      </w:r>
      <w:r>
        <w:rPr>
          <w:lang w:val="en-US"/>
        </w:rPr>
        <w:t xml:space="preserve">, </w:t>
      </w:r>
      <w:r w:rsidRPr="00090F9D">
        <w:rPr>
          <w:lang w:val="en-US"/>
        </w:rPr>
        <w:t xml:space="preserve">Muving and </w:t>
      </w:r>
      <w:r w:rsidRPr="002E5F05">
        <w:t>Outo</w:t>
      </w:r>
      <w:r>
        <w:t xml:space="preserve"> - Outo also offers P2P motosharing </w:t>
      </w:r>
      <w:r w:rsidR="00A070D3">
        <w:fldChar w:fldCharType="begin"/>
      </w:r>
      <w:r>
        <w:instrText xml:space="preserve"> ADDIN ZOTERO_ITEM CSL_CITATION {"citationID":"RyV3qfhj","properties":{"unsorted":true,"formattedCitation":"(mytaxi, 2016; Maxi Mobility, 2017; Avancar, 2017; Bluemove, 2016; SocialCar, 2017; Drivy, 2017; Amovens Soluciones, 2017; Cooltra Motosharing, 2017; YUGO Urban Mobility, 2017; Motit World, 2017; Sharing Muving, 2017; Outo, 2017)","plainCitation":"(mytaxi, 2016; Maxi Mobility, 2017; Avancar, 2017; Bluemove, 2016; SocialCar, 2017; Drivy, 2017; Amovens Soluciones, 2017; Cooltra Motosharing, 2017; YUGO Urban Mobility, 2017; Motit World, 2017; Sharing Muving, 2017; Outo, 2017)"},"citationItems":[{"id":487,"uris":["http://zotero.org/users/3254536/items/PWAGF3FG"],"uri":["http://zotero.org/users/3254536/items/PWAGF3FG"],"itemData":{"id":487,"type":"webpage","title":"mytaxi - The Taxi App","container-title":"mytaxi","URL":"https://us.mytaxi.com/index.html","author":[{"family":"mytaxi","given":""}],"issued":{"date-parts":[["2016"]]},"accessed":{"date-parts":[["2017",3,6]]}},"label":"page"},{"id":645,"uris":["http://zotero.org/users/3254536/items/XSZ45QBR"],"uri":["http://zotero.org/users/3254536/items/XSZ45QBR"],"itemData":{"id":645,"type":"webpage","title":"Cabify","URL":"https://cabify.com","author":[{"literal":"Maxi Mobility"}],"issued":{"date-parts":[["2017"]]},"accessed":{"date-parts":[["2017",7,7]]}},"label":"page"},{"id":341,"uris":["http://zotero.org/users/3254536/items/ZEADPHGE"],"uri":["http://zotero.org/users/3254536/items/ZEADPHGE"],"itemData":{"id":341,"type":"webpage","title":"Avancar","container-title":"Avancar","URL":"http://www.avancar.es/","author":[{"family":"Avancar","given":""}],"issued":{"date-parts":[["2017"]]},"accessed":{"date-parts":[["2017",1,25]]}},"label":"page"},{"id":647,"uris":["http://zotero.org/users/3254536/items/ZMJ8HMXQ"],"uri":["http://zotero.org/users/3254536/items/ZMJ8HMXQ"],"itemData":{"id":647,"type":"webpage","title":"Bluemove","container-title":"Bluemove","URL":"https://bluemove.es/es","author":[{"literal":"Bluemove"}],"issued":{"date-parts":[["2016"]]},"accessed":{"date-parts":[["2017",7,7]]}},"label":"page"},{"id":336,"uris":["http://zotero.org/users/3254536/items/SQNQW36A"],"uri":["http://zotero.org/users/3254536/items/SQNQW36A"],"itemData":{"id":336,"type":"webpage","title":"SocialCar","container-title":"SocialCar","URL":"https://www.socialcar.com/","author":[{"family":"SocialCar","given":""}],"issued":{"date-parts":[["2017"]]},"accessed":{"date-parts":[["2017",1,25]]}},"label":"page"},{"id":646,"uris":["http://zotero.org/users/3254536/items/NZ7N7JTP"],"uri":["http://zotero.org/users/3254536/items/NZ7N7JTP"],"itemData":{"id":646,"type":"webpage","title":"Drivy","container-title":"Drivy","URL":"https://www.drivy.es/","author":[{"literal":"Drivy"}],"issued":{"date-parts":[["2017"]]},"accessed":{"date-parts":[["2017",7,7]]}},"label":"page"},{"id":644,"uris":["http://zotero.org/users/3254536/items/5H9JBMSQ"],"uri":["http://zotero.org/users/3254536/items/5H9JBMSQ"],"itemData":{"id":644,"type":"webpage","title":"Amovens","container-title":"Amovens","URL":"https://amovens.com/","author":[{"literal":"Amovens Soluciones"}],"issued":{"date-parts":[["2017"]]},"accessed":{"date-parts":[["2017",7,7]]}},"label":"page"},{"id":658,"uris":["http://zotero.org/users/3254536/items/RQ33I3B6"],"uri":["http://zotero.org/users/3254536/items/RQ33I3B6"],"itemData":{"id":658,"type":"webpage","title":"eCooltra","container-title":"eCooltra","URL":"https://www.ecooltra.com/es/","author":[{"literal":"Cooltra Motosharing"}],"issued":{"date-parts":[["2017"]]},"accessed":{"date-parts":[["2017",8,10]]}}},{"id":661,"uris":["http://zotero.org/users/3254536/items/ZCFUTEUR"],"uri":["http://zotero.org/users/3254536/items/ZCFUTEUR"],"itemData":{"id":661,"type":"webpage","title":"YUGO","container-title":"YUGO","abstract":"A scooter available whenever and wherever you want in Barcelona.","URL":"https://www.getyugo.com","author":[{"literal":"YUGO Urban Mobility"}],"issued":{"date-parts":[["2017"]]},"accessed":{"date-parts":[["2017",8,10]]}}},{"id":659,"uris":["http://zotero.org/users/3254536/items/AKVKZXB5"],"uri":["http://zotero.org/users/3254536/items/AKVKZXB5"],"itemData":{"id":659,"type":"webpage","title":"Motit","container-title":"Motit World","abstract":"Motit es una nueva experiencia de movilidad y motosharing Barcelona para ti y tu ciudad. Diseñada a tu medida, adaptada a tu bolsillo y ecológica.","URL":"http://www.motitworld.com/bcn/","author":[{"literal":"Motit World"}],"issued":{"date-parts":[["2017"]]},"accessed":{"date-parts":[["2017",8,10]]}}},{"id":663,"uris":["http://zotero.org/users/3254536/items/VZ3D6B8A"],"uri":["http://zotero.org/users/3254536/items/VZ3D6B8A"],"itemData":{"id":663,"type":"webpage","title":"Muving","container-title":"Alquiler de motos eléctricas","genre":"Muving","abstract":"Empresa de alquiler de motos eléctricas y motosharing radicada en Madrid, Barcelona, Málaga, Sevilla y Cádiz. Alquila motos muving a precios increíbles.","URL":"http://www.muving.com/","language":"es-ES","author":[{"literal":"Sharing Muving"}],"issued":{"date-parts":[["2017"]]},"accessed":{"date-parts":[["2017",8,10]]}}},{"id":665,"uris":["http://zotero.org/users/3254536/items/3ZD5G5FP"],"uri":["http://zotero.org/users/3254536/items/3ZD5G5FP"],"itemData":{"id":665,"type":"webpage","title":"Outo","container-title":"Outo","abstract":"Alquila una moto o scooter por minutos, si es eléctrica recójela y déjala alli donde quieras, si es de otra persona deberás dejarla donde la recojiste. Alquilamos motos propias eléctricas por minutos, y facailitamos que propietarios cedan sus motos a otras personas (conductores ocasionales), en toda España. Rent a motorbike or scooter from anywhere, easy, pay for used minutes and leave at your best place or a tthe same place where you get if the moto is from a private user. We rent our own motos and we manage for other users share his motos through us. All Spain.","URL":"https://www.outo.es/","shortTitle":"Outo - Motosharing, ahora Alquila tu moto también","author":[{"literal":"Outo"}],"issued":{"date-parts":[["2017"]]},"accessed":{"date-parts":[["2017",8,10]]}}}],"schema":"https://github.com/citation-style-language/schema/raw/master/csl-citation.json"} </w:instrText>
      </w:r>
      <w:r w:rsidR="00A070D3">
        <w:fldChar w:fldCharType="separate"/>
      </w:r>
      <w:r w:rsidRPr="000339BF">
        <w:t>(mytaxi, 2016; Maxi Mobility, 2017; Avancar, 2017; Bluemove, 2016; SocialCar, 2017; Drivy, 2017; Amovens Soluciones, 2017; Cooltra Motosharing, 2017; YUGO Urban Mobility, 2017; Motit World, 2017; Sharing Muving, 2017; Outo, 2017)</w:t>
      </w:r>
      <w:r w:rsidR="00A070D3">
        <w:fldChar w:fldCharType="end"/>
      </w:r>
      <w:r>
        <w:t xml:space="preserve">. </w:t>
      </w:r>
    </w:p>
    <w:p w:rsidR="009569CC" w:rsidRPr="0068012F" w:rsidRDefault="009569CC" w:rsidP="00690D83">
      <w:pPr>
        <w:pStyle w:val="Ttulo1"/>
        <w:numPr>
          <w:ilvl w:val="0"/>
          <w:numId w:val="1"/>
        </w:numPr>
        <w:ind w:left="0" w:hanging="567"/>
      </w:pPr>
      <w:r>
        <w:t>METHODOLOGY</w:t>
      </w:r>
    </w:p>
    <w:p w:rsidR="009569CC" w:rsidRDefault="009569CC" w:rsidP="009569CC">
      <w:pPr>
        <w:pStyle w:val="Text"/>
      </w:pPr>
      <w:r>
        <w:t xml:space="preserve">With </w:t>
      </w:r>
      <w:r w:rsidR="00EE040B">
        <w:t xml:space="preserve">the </w:t>
      </w:r>
      <w:r>
        <w:t xml:space="preserve">aim of finding out </w:t>
      </w:r>
      <w:r w:rsidR="00F212E5">
        <w:t xml:space="preserve">about </w:t>
      </w:r>
      <w:r>
        <w:t>the mobility patterns</w:t>
      </w:r>
      <w:r w:rsidR="00F212E5">
        <w:t>,</w:t>
      </w:r>
      <w:r>
        <w:t xml:space="preserve"> behaviours</w:t>
      </w:r>
      <w:r w:rsidR="00F212E5">
        <w:t>, needs and expectations</w:t>
      </w:r>
      <w:r>
        <w:t xml:space="preserve"> of the citizens of Barcelona and of </w:t>
      </w:r>
      <w:r w:rsidR="00F212E5">
        <w:t xml:space="preserve">its </w:t>
      </w:r>
      <w:r>
        <w:t xml:space="preserve">metropolitan Barcelona region, a quantitative study was conducted in January 2017. A total of 602 interviews were carried out on-line, using the technique of </w:t>
      </w:r>
      <w:r w:rsidRPr="00D801DA">
        <w:t>Computer-</w:t>
      </w:r>
      <w:r>
        <w:t>A</w:t>
      </w:r>
      <w:r w:rsidRPr="00D801DA">
        <w:t xml:space="preserve">ssisted </w:t>
      </w:r>
      <w:r>
        <w:t>W</w:t>
      </w:r>
      <w:r w:rsidRPr="00D801DA">
        <w:t xml:space="preserve">eb </w:t>
      </w:r>
      <w:r>
        <w:t>I</w:t>
      </w:r>
      <w:r w:rsidRPr="00D801DA">
        <w:t>nterviewing (CAWI)</w:t>
      </w:r>
      <w:r>
        <w:t>. The survey was conducted according</w:t>
      </w:r>
      <w:r w:rsidRPr="00212571">
        <w:t xml:space="preserve"> to</w:t>
      </w:r>
      <w:r>
        <w:t xml:space="preserve"> the norm</w:t>
      </w:r>
      <w:r w:rsidRPr="00212571">
        <w:t xml:space="preserve"> ISO 20252 and </w:t>
      </w:r>
      <w:r>
        <w:t xml:space="preserve">the </w:t>
      </w:r>
      <w:r w:rsidRPr="00212571">
        <w:t>code of conduct CCI/ESOMAR</w:t>
      </w:r>
      <w:r>
        <w:t xml:space="preserve">. </w:t>
      </w:r>
    </w:p>
    <w:p w:rsidR="009569CC" w:rsidRDefault="009569CC" w:rsidP="009569CC">
      <w:pPr>
        <w:pStyle w:val="Text"/>
      </w:pPr>
      <w:r>
        <w:t>The questionnaire applied was structured with closed questions</w:t>
      </w:r>
      <w:r w:rsidR="00D76758">
        <w:t>.</w:t>
      </w:r>
      <w:r w:rsidR="00774688">
        <w:t xml:space="preserve"> </w:t>
      </w:r>
      <w:r>
        <w:t xml:space="preserve">The survey asked 17 questions regarding the use, intention of use and likes and dislikes of shared mobility services, as well as the preferred options according to different types of trips, price setting, and accessibility to these services. </w:t>
      </w:r>
      <w:r w:rsidR="009E32D7">
        <w:t>Furthermore</w:t>
      </w:r>
      <w:r>
        <w:t>, 12 classification questions and 3 questions regarding the usual and preferred means of transport were also requested.</w:t>
      </w:r>
    </w:p>
    <w:p w:rsidR="009569CC" w:rsidRPr="0068012F" w:rsidRDefault="009569CC" w:rsidP="009569CC">
      <w:pPr>
        <w:pStyle w:val="Ttulo2"/>
        <w:numPr>
          <w:ilvl w:val="1"/>
          <w:numId w:val="1"/>
        </w:numPr>
        <w:ind w:left="0" w:hanging="567"/>
      </w:pPr>
      <w:r>
        <w:t>Sample</w:t>
      </w:r>
    </w:p>
    <w:p w:rsidR="009569CC" w:rsidRDefault="009569CC" w:rsidP="009569CC">
      <w:pPr>
        <w:pStyle w:val="Text"/>
      </w:pPr>
      <w:r>
        <w:t>A sample profile was defined in order to ensure an equal participation rate among genders, ages and commuters and non-commuters.</w:t>
      </w:r>
    </w:p>
    <w:p w:rsidR="009569CC" w:rsidRDefault="009569CC" w:rsidP="009569CC">
      <w:pPr>
        <w:pStyle w:val="Text"/>
        <w:spacing w:after="0"/>
      </w:pPr>
      <w:r>
        <w:t>Precisely, the sample profile obtained was:</w:t>
      </w:r>
    </w:p>
    <w:p w:rsidR="009569CC" w:rsidRDefault="009569CC" w:rsidP="009569CC">
      <w:pPr>
        <w:pStyle w:val="Text"/>
        <w:numPr>
          <w:ilvl w:val="0"/>
          <w:numId w:val="11"/>
        </w:numPr>
        <w:spacing w:after="0"/>
      </w:pPr>
      <w:r>
        <w:t>Gender: 49.83% women and 50.17% men.</w:t>
      </w:r>
    </w:p>
    <w:p w:rsidR="009569CC" w:rsidRDefault="009569CC" w:rsidP="009569CC">
      <w:pPr>
        <w:pStyle w:val="Text"/>
        <w:numPr>
          <w:ilvl w:val="0"/>
          <w:numId w:val="11"/>
        </w:numPr>
        <w:spacing w:after="0"/>
      </w:pPr>
      <w:r>
        <w:t>Age: 33.6% aged between 18 and 29 years old, 33.2% aged between 30 and 45 years old, and the remaining 33.2% aged between 46 and 55 years old.</w:t>
      </w:r>
    </w:p>
    <w:p w:rsidR="009569CC" w:rsidRDefault="009569CC" w:rsidP="009569CC">
      <w:pPr>
        <w:pStyle w:val="Text"/>
        <w:numPr>
          <w:ilvl w:val="0"/>
          <w:numId w:val="12"/>
        </w:numPr>
        <w:spacing w:after="0"/>
      </w:pPr>
      <w:r>
        <w:t>Mobility patterns: 48.34% living and working in Barcelona or its neighbouring municipalities (</w:t>
      </w:r>
      <w:r w:rsidRPr="00266F09">
        <w:t xml:space="preserve">Badalona, Sant Adrià de Besós, Santa Coloma de Gramenet, </w:t>
      </w:r>
      <w:r>
        <w:t>L</w:t>
      </w:r>
      <w:r w:rsidRPr="00266F09">
        <w:t>’Hospitalet de Llobregat, El Prat de Llobregat</w:t>
      </w:r>
      <w:r>
        <w:t xml:space="preserve"> </w:t>
      </w:r>
      <w:r>
        <w:lastRenderedPageBreak/>
        <w:t>and</w:t>
      </w:r>
      <w:r w:rsidRPr="00266F09">
        <w:t xml:space="preserve"> Cornellà de Llobregat</w:t>
      </w:r>
      <w:r>
        <w:t xml:space="preserve">); 24.92% commuting from Barcelona or its immediate to other locations of the </w:t>
      </w:r>
      <w:r w:rsidR="00C06341">
        <w:t>Barcelona Metropolitan R</w:t>
      </w:r>
      <w:r>
        <w:t>egion</w:t>
      </w:r>
      <w:r w:rsidR="00C06341">
        <w:t xml:space="preserve"> (RMB)</w:t>
      </w:r>
      <w:r>
        <w:t xml:space="preserve">, and the remaining 26.74% commuting from the </w:t>
      </w:r>
      <w:r w:rsidR="00C06341">
        <w:t>RMB</w:t>
      </w:r>
      <w:r>
        <w:t xml:space="preserve"> to Barcelona and its immediate.  </w:t>
      </w:r>
    </w:p>
    <w:p w:rsidR="009569CC" w:rsidRDefault="009569CC" w:rsidP="009569CC">
      <w:pPr>
        <w:pStyle w:val="Text"/>
        <w:numPr>
          <w:ilvl w:val="0"/>
          <w:numId w:val="12"/>
        </w:numPr>
        <w:spacing w:after="0"/>
      </w:pPr>
      <w:r>
        <w:t xml:space="preserve">Education: 62.06% had University studies, 30.62% had High school studies, 13.49% had Elementary school studies, and the remaining 3,83% had less studies. </w:t>
      </w:r>
    </w:p>
    <w:p w:rsidR="009569CC" w:rsidRDefault="009569CC" w:rsidP="009569CC">
      <w:pPr>
        <w:pStyle w:val="Text"/>
        <w:numPr>
          <w:ilvl w:val="0"/>
          <w:numId w:val="12"/>
        </w:numPr>
        <w:spacing w:after="0"/>
      </w:pPr>
      <w:r>
        <w:t>Occupation: 78.84% were employed, 4.76% were unemployed, 7.41% were students which also were working, and the remaining 8.99% were students exclusively dedicated to their studies.</w:t>
      </w:r>
    </w:p>
    <w:p w:rsidR="009569CC" w:rsidRPr="0068012F" w:rsidRDefault="009569CC" w:rsidP="00690D83">
      <w:pPr>
        <w:pStyle w:val="Ttulo1"/>
        <w:numPr>
          <w:ilvl w:val="0"/>
          <w:numId w:val="1"/>
        </w:numPr>
        <w:ind w:left="0" w:hanging="567"/>
      </w:pPr>
      <w:r>
        <w:t>RESULTS</w:t>
      </w:r>
    </w:p>
    <w:p w:rsidR="00F31F01" w:rsidRDefault="00CC2428" w:rsidP="009569CC">
      <w:pPr>
        <w:pStyle w:val="Text"/>
      </w:pPr>
      <w:r>
        <w:t xml:space="preserve">This section discusses the </w:t>
      </w:r>
      <w:r w:rsidR="0079655E">
        <w:t xml:space="preserve">outcome </w:t>
      </w:r>
      <w:r>
        <w:t>of the survey</w:t>
      </w:r>
      <w:r w:rsidR="009569CC" w:rsidRPr="00F31F01">
        <w:t>.</w:t>
      </w:r>
      <w:r w:rsidR="00F31F01">
        <w:t xml:space="preserve"> First, mobility patterns</w:t>
      </w:r>
      <w:r>
        <w:t xml:space="preserve"> of respondents</w:t>
      </w:r>
      <w:r w:rsidR="00F31F01">
        <w:t xml:space="preserve"> are</w:t>
      </w:r>
      <w:r>
        <w:t xml:space="preserve"> provided and analysed by </w:t>
      </w:r>
      <w:r w:rsidR="00F31F01">
        <w:t>age, gender</w:t>
      </w:r>
      <w:r>
        <w:t xml:space="preserve">, </w:t>
      </w:r>
      <w:r w:rsidR="00F31F01">
        <w:t>location</w:t>
      </w:r>
      <w:r w:rsidR="00DF195B">
        <w:t xml:space="preserve"> and employment</w:t>
      </w:r>
      <w:r>
        <w:t xml:space="preserve"> situation. </w:t>
      </w:r>
      <w:r w:rsidR="006957EC">
        <w:t>Then</w:t>
      </w:r>
      <w:r w:rsidR="00F31F01">
        <w:t>, the</w:t>
      </w:r>
      <w:r w:rsidR="006957EC">
        <w:t xml:space="preserve"> analysis continues with the use</w:t>
      </w:r>
      <w:r w:rsidR="00F31F01">
        <w:t xml:space="preserve"> intention of</w:t>
      </w:r>
      <w:r w:rsidR="006957EC">
        <w:t xml:space="preserve"> the</w:t>
      </w:r>
      <w:r w:rsidR="00F31F01">
        <w:t xml:space="preserve"> </w:t>
      </w:r>
      <w:r w:rsidR="00A47159">
        <w:t xml:space="preserve">emerging </w:t>
      </w:r>
      <w:r w:rsidR="006957EC">
        <w:t xml:space="preserve">mobility services </w:t>
      </w:r>
      <w:r>
        <w:t>studied,</w:t>
      </w:r>
      <w:r w:rsidR="006957EC">
        <w:t xml:space="preserve"> being aware of the limitation that most of the interviewees had never used a shared service</w:t>
      </w:r>
      <w:r w:rsidR="00124CB2">
        <w:t xml:space="preserve"> before</w:t>
      </w:r>
      <w:r w:rsidR="0037754E">
        <w:t xml:space="preserve"> - bikesharing included -</w:t>
      </w:r>
      <w:r w:rsidR="00124CB2">
        <w:t>. H</w:t>
      </w:r>
      <w:r>
        <w:t>owever</w:t>
      </w:r>
      <w:r w:rsidR="00124CB2">
        <w:t>,</w:t>
      </w:r>
      <w:r>
        <w:t xml:space="preserve"> during the survey all services valued where </w:t>
      </w:r>
      <w:r w:rsidR="00124CB2">
        <w:t xml:space="preserve">in every question </w:t>
      </w:r>
      <w:r>
        <w:t xml:space="preserve">explained </w:t>
      </w:r>
      <w:r w:rsidR="00124CB2">
        <w:t xml:space="preserve">in detail and with examples. </w:t>
      </w:r>
    </w:p>
    <w:p w:rsidR="009569CC" w:rsidRDefault="009569CC" w:rsidP="009569CC">
      <w:pPr>
        <w:pStyle w:val="Ttulo2"/>
        <w:numPr>
          <w:ilvl w:val="1"/>
          <w:numId w:val="1"/>
        </w:numPr>
        <w:ind w:left="0" w:hanging="567"/>
      </w:pPr>
      <w:r>
        <w:t xml:space="preserve">Respondents mobility </w:t>
      </w:r>
      <w:r w:rsidR="00CF2FE9">
        <w:t>patterns</w:t>
      </w:r>
    </w:p>
    <w:p w:rsidR="003037A0" w:rsidRPr="008B15A6" w:rsidRDefault="00A80C4B" w:rsidP="008B15A6">
      <w:pPr>
        <w:pStyle w:val="Text"/>
      </w:pPr>
      <w:r>
        <w:t>More than four-fifth of respondents had a driving license</w:t>
      </w:r>
      <w:r w:rsidR="0076279C">
        <w:t xml:space="preserve"> (86.88%)</w:t>
      </w:r>
      <w:r>
        <w:t xml:space="preserve"> and access to a car</w:t>
      </w:r>
      <w:r w:rsidR="0076279C">
        <w:t xml:space="preserve"> (82.72%) - </w:t>
      </w:r>
      <w:r>
        <w:t>own</w:t>
      </w:r>
      <w:r w:rsidR="0076279C">
        <w:t>ed</w:t>
      </w:r>
      <w:r>
        <w:t xml:space="preserve"> or from a family member</w:t>
      </w:r>
      <w:r w:rsidR="0076279C">
        <w:t xml:space="preserve"> -</w:t>
      </w:r>
      <w:r>
        <w:t xml:space="preserve">. </w:t>
      </w:r>
      <w:r w:rsidR="000A03F9">
        <w:t>According to</w:t>
      </w:r>
      <w:r w:rsidR="0030027E">
        <w:t xml:space="preserve"> the analysis of the questions of having a driving license and access to a car</w:t>
      </w:r>
      <w:r w:rsidR="00BA20F8">
        <w:t xml:space="preserve"> by monthly incomes</w:t>
      </w:r>
      <w:r w:rsidR="0030027E">
        <w:t xml:space="preserve">, </w:t>
      </w:r>
      <w:r w:rsidR="00BA20F8">
        <w:t xml:space="preserve">it was found that </w:t>
      </w:r>
      <w:r w:rsidR="0030027E">
        <w:t>t</w:t>
      </w:r>
      <w:r>
        <w:t>he profile with more access to driving a car was directly related to the level of income and inversely proportional to the use of the public transport</w:t>
      </w:r>
      <w:r w:rsidR="0076279C">
        <w:t xml:space="preserve">. Besides, </w:t>
      </w:r>
      <w:r w:rsidR="00CE71E3">
        <w:t>responses to “W</w:t>
      </w:r>
      <w:r w:rsidR="00CE71E3" w:rsidRPr="00CE71E3">
        <w:t>hich means of transport do you use to travel in a normal working day</w:t>
      </w:r>
      <w:r w:rsidR="00BA20F8">
        <w:t xml:space="preserve">” lead to the conclusion that </w:t>
      </w:r>
      <w:r w:rsidR="0076279C">
        <w:t xml:space="preserve">the 53.49% of interviewees used more than one mode of transport every day, being </w:t>
      </w:r>
      <w:r>
        <w:t>the citizens with</w:t>
      </w:r>
      <w:r w:rsidR="00955F40">
        <w:t xml:space="preserve"> the</w:t>
      </w:r>
      <w:r>
        <w:t xml:space="preserve"> lowest incomes the most multimodal</w:t>
      </w:r>
      <w:r w:rsidR="00955F40">
        <w:t>, with the exception of the unemployed population</w:t>
      </w:r>
      <w:r w:rsidR="00513F99">
        <w:t>.</w:t>
      </w:r>
      <w:r>
        <w:t xml:space="preserve"> </w:t>
      </w:r>
      <w:r w:rsidR="00955F40">
        <w:t xml:space="preserve">Accordingly, </w:t>
      </w:r>
      <w:r w:rsidR="003F4DB8">
        <w:t xml:space="preserve">Table </w:t>
      </w:r>
      <w:r w:rsidR="00D2188E">
        <w:t>1</w:t>
      </w:r>
      <w:r w:rsidR="003F4DB8">
        <w:t xml:space="preserve"> </w:t>
      </w:r>
      <w:r w:rsidR="004F0465">
        <w:t xml:space="preserve">provides an overview on </w:t>
      </w:r>
      <w:r w:rsidR="003F4DB8" w:rsidRPr="003F4DB8">
        <w:t xml:space="preserve">the mobility </w:t>
      </w:r>
      <w:r w:rsidR="00CF2FE9">
        <w:t>patterns</w:t>
      </w:r>
      <w:r w:rsidR="00CF2FE9" w:rsidRPr="003F4DB8">
        <w:t xml:space="preserve"> </w:t>
      </w:r>
      <w:r w:rsidR="003F4DB8" w:rsidRPr="003F4DB8">
        <w:t>of respondents by employment situation</w:t>
      </w:r>
      <w:r w:rsidR="003F4DB8">
        <w:t xml:space="preserve">. </w:t>
      </w:r>
      <w:r w:rsidR="005403F4">
        <w:t xml:space="preserve">The first column shows </w:t>
      </w:r>
      <w:r w:rsidR="009B1A62" w:rsidRPr="009B1A62">
        <w:t>the percentage of respondent</w:t>
      </w:r>
      <w:r w:rsidR="00DF195B">
        <w:t>s</w:t>
      </w:r>
      <w:r w:rsidR="009B1A62" w:rsidRPr="009B1A62">
        <w:t xml:space="preserve"> of each category over the total answers. Next, each row </w:t>
      </w:r>
      <w:r w:rsidR="004F0465">
        <w:t>gives</w:t>
      </w:r>
      <w:r w:rsidR="004F0465" w:rsidRPr="009B1A62">
        <w:t xml:space="preserve"> </w:t>
      </w:r>
      <w:r w:rsidR="009B1A62" w:rsidRPr="009B1A62">
        <w:t xml:space="preserve">the percentage of affirmative answers over the respondents of each category. </w:t>
      </w:r>
      <w:r w:rsidR="00D2188E">
        <w:t>From this table</w:t>
      </w:r>
      <w:r w:rsidR="00BA20F8">
        <w:t xml:space="preserve"> it</w:t>
      </w:r>
      <w:r w:rsidR="00D2188E">
        <w:t xml:space="preserve"> can</w:t>
      </w:r>
      <w:r w:rsidR="00BA20F8">
        <w:t xml:space="preserve"> be</w:t>
      </w:r>
      <w:r w:rsidR="00D2188E">
        <w:t xml:space="preserve"> see</w:t>
      </w:r>
      <w:r w:rsidR="00BA20F8">
        <w:t>n</w:t>
      </w:r>
      <w:r w:rsidR="00D2188E">
        <w:t xml:space="preserve"> that </w:t>
      </w:r>
      <w:r w:rsidR="003F4DB8">
        <w:t xml:space="preserve">the segments with more use of the public transport </w:t>
      </w:r>
      <w:r w:rsidR="00BA20F8">
        <w:t xml:space="preserve">were </w:t>
      </w:r>
      <w:r w:rsidR="00F25665">
        <w:t>students and unemployed citizens</w:t>
      </w:r>
      <w:r w:rsidR="003676C7">
        <w:t xml:space="preserve">. </w:t>
      </w:r>
      <w:r w:rsidR="000B0FF3">
        <w:t>In addition</w:t>
      </w:r>
      <w:r w:rsidR="003676C7">
        <w:t xml:space="preserve">, the </w:t>
      </w:r>
      <w:r w:rsidR="00AC0809" w:rsidRPr="00AC0809">
        <w:t xml:space="preserve">analysis of mobility patterns and intended use of shared mobility in the metropolitan Barcelona region </w:t>
      </w:r>
      <w:r w:rsidR="003676C7">
        <w:t xml:space="preserve">most </w:t>
      </w:r>
      <w:r w:rsidR="003676C7">
        <w:lastRenderedPageBreak/>
        <w:t>multimodal</w:t>
      </w:r>
      <w:r w:rsidR="00F67362">
        <w:t xml:space="preserve"> segment</w:t>
      </w:r>
      <w:r w:rsidR="00004846">
        <w:t xml:space="preserve"> - </w:t>
      </w:r>
      <w:r w:rsidR="003676C7">
        <w:t>students</w:t>
      </w:r>
      <w:r w:rsidR="00004846">
        <w:t>, with a rate up to 72.55%</w:t>
      </w:r>
      <w:r w:rsidR="003676C7">
        <w:t xml:space="preserve"> - was having </w:t>
      </w:r>
      <w:r w:rsidR="00004846">
        <w:t xml:space="preserve">by far </w:t>
      </w:r>
      <w:r w:rsidR="003676C7">
        <w:t>less access to a car</w:t>
      </w:r>
      <w:r w:rsidR="0040669B">
        <w:t xml:space="preserve"> (54.9</w:t>
      </w:r>
      <w:r w:rsidR="00004846">
        <w:t>0%)</w:t>
      </w:r>
      <w:r w:rsidR="0083715F">
        <w:t>. Although</w:t>
      </w:r>
      <w:r w:rsidR="005403F4">
        <w:t>,</w:t>
      </w:r>
      <w:r w:rsidR="0083715F">
        <w:t xml:space="preserve"> it should be noted that the proportion of students and unemployed citizens </w:t>
      </w:r>
      <w:r w:rsidR="00DF195B">
        <w:t>from the sample</w:t>
      </w:r>
      <w:r w:rsidR="0083715F">
        <w:t xml:space="preserve"> is very small (</w:t>
      </w:r>
      <w:r w:rsidR="004F0465">
        <w:t>ratio of students</w:t>
      </w:r>
      <w:r w:rsidR="004E53BB">
        <w:t xml:space="preserve"> exclusively and also working</w:t>
      </w:r>
      <w:r w:rsidR="004F0465">
        <w:t xml:space="preserve">: </w:t>
      </w:r>
      <w:r w:rsidR="004E53BB">
        <w:t xml:space="preserve">8.47% and </w:t>
      </w:r>
      <w:r w:rsidR="004F0465">
        <w:t>6.98%</w:t>
      </w:r>
      <w:r w:rsidR="004E53BB">
        <w:t xml:space="preserve"> respectively</w:t>
      </w:r>
      <w:r w:rsidR="004F0465">
        <w:t>, ratio of unemployed respondents: 4.49%</w:t>
      </w:r>
      <w:r w:rsidR="0083715F">
        <w:t>).</w:t>
      </w:r>
    </w:p>
    <w:tbl>
      <w:tblPr>
        <w:tblStyle w:val="Sombreadoclaro"/>
        <w:tblW w:w="8558" w:type="dxa"/>
        <w:tblLook w:val="04A0" w:firstRow="1" w:lastRow="0" w:firstColumn="1" w:lastColumn="0" w:noHBand="0" w:noVBand="1"/>
      </w:tblPr>
      <w:tblGrid>
        <w:gridCol w:w="1668"/>
        <w:gridCol w:w="895"/>
        <w:gridCol w:w="1090"/>
        <w:gridCol w:w="1134"/>
        <w:gridCol w:w="1275"/>
        <w:gridCol w:w="1276"/>
        <w:gridCol w:w="1220"/>
      </w:tblGrid>
      <w:tr w:rsidR="00E74DEC" w:rsidRPr="003037A0" w:rsidTr="00AE36E9">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hideMark/>
          </w:tcPr>
          <w:p w:rsidR="00E74DEC" w:rsidRPr="00D778FE" w:rsidRDefault="00E74DEC" w:rsidP="00494FA4">
            <w:pPr>
              <w:spacing w:before="40" w:after="40"/>
              <w:rPr>
                <w:b w:val="0"/>
                <w:color w:val="000000"/>
                <w:szCs w:val="20"/>
                <w:lang w:val="en-GB" w:eastAsia="es-ES"/>
              </w:rPr>
            </w:pPr>
            <w:r w:rsidRPr="00D778FE">
              <w:rPr>
                <w:b w:val="0"/>
                <w:color w:val="000000"/>
                <w:szCs w:val="20"/>
                <w:lang w:val="en-GB" w:eastAsia="es-ES"/>
              </w:rPr>
              <w:t>Employment situation</w:t>
            </w:r>
          </w:p>
        </w:tc>
        <w:tc>
          <w:tcPr>
            <w:tcW w:w="895" w:type="dxa"/>
            <w:shd w:val="clear" w:color="auto" w:fill="auto"/>
            <w:vAlign w:val="center"/>
          </w:tcPr>
          <w:p w:rsidR="00E74DEC" w:rsidRPr="00D778FE" w:rsidRDefault="00E74DEC" w:rsidP="00494FA4">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eastAsia="es-ES"/>
              </w:rPr>
            </w:pPr>
            <w:r>
              <w:rPr>
                <w:b w:val="0"/>
                <w:color w:val="000000"/>
                <w:szCs w:val="20"/>
                <w:lang w:eastAsia="es-ES"/>
              </w:rPr>
              <w:t>n</w:t>
            </w:r>
          </w:p>
        </w:tc>
        <w:tc>
          <w:tcPr>
            <w:tcW w:w="1090" w:type="dxa"/>
            <w:shd w:val="clear" w:color="auto" w:fill="auto"/>
            <w:vAlign w:val="center"/>
            <w:hideMark/>
          </w:tcPr>
          <w:p w:rsidR="00E74DEC" w:rsidRPr="00D778FE" w:rsidRDefault="00E74DEC" w:rsidP="00494FA4">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778FE">
              <w:rPr>
                <w:b w:val="0"/>
                <w:color w:val="000000"/>
                <w:szCs w:val="20"/>
                <w:lang w:val="en-GB" w:eastAsia="es-ES"/>
              </w:rPr>
              <w:t>Have a driving license</w:t>
            </w:r>
          </w:p>
        </w:tc>
        <w:tc>
          <w:tcPr>
            <w:tcW w:w="1134" w:type="dxa"/>
            <w:shd w:val="clear" w:color="auto" w:fill="auto"/>
            <w:vAlign w:val="center"/>
            <w:hideMark/>
          </w:tcPr>
          <w:p w:rsidR="00E74DEC" w:rsidRPr="00D778FE" w:rsidRDefault="00E74DEC" w:rsidP="00494FA4">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778FE">
              <w:rPr>
                <w:b w:val="0"/>
                <w:color w:val="000000"/>
                <w:szCs w:val="20"/>
                <w:lang w:val="en-GB" w:eastAsia="es-ES"/>
              </w:rPr>
              <w:t>Access or owners of  a car</w:t>
            </w:r>
          </w:p>
        </w:tc>
        <w:tc>
          <w:tcPr>
            <w:tcW w:w="1275" w:type="dxa"/>
            <w:shd w:val="clear" w:color="auto" w:fill="auto"/>
            <w:vAlign w:val="center"/>
            <w:hideMark/>
          </w:tcPr>
          <w:p w:rsidR="00E74DEC" w:rsidRPr="003037A0" w:rsidRDefault="00E74DEC" w:rsidP="00494FA4">
            <w:pPr>
              <w:spacing w:before="40" w:after="40"/>
              <w:ind w:left="11"/>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778FE">
              <w:rPr>
                <w:b w:val="0"/>
                <w:color w:val="000000"/>
                <w:szCs w:val="20"/>
                <w:lang w:val="en-GB" w:eastAsia="es-ES"/>
              </w:rPr>
              <w:t xml:space="preserve">Daily users </w:t>
            </w:r>
          </w:p>
          <w:p w:rsidR="00E74DEC" w:rsidRPr="00D778FE" w:rsidRDefault="00E74DEC" w:rsidP="00494FA4">
            <w:pPr>
              <w:spacing w:before="40" w:after="40"/>
              <w:ind w:left="11"/>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778FE">
              <w:rPr>
                <w:b w:val="0"/>
                <w:color w:val="000000"/>
                <w:szCs w:val="20"/>
                <w:lang w:val="en-GB" w:eastAsia="es-ES"/>
              </w:rPr>
              <w:t xml:space="preserve">of </w:t>
            </w:r>
            <w:r w:rsidRPr="003037A0">
              <w:rPr>
                <w:b w:val="0"/>
                <w:color w:val="000000"/>
                <w:szCs w:val="20"/>
                <w:lang w:val="en-GB" w:eastAsia="es-ES"/>
              </w:rPr>
              <w:t>p</w:t>
            </w:r>
            <w:r w:rsidRPr="00D778FE">
              <w:rPr>
                <w:b w:val="0"/>
                <w:color w:val="000000"/>
                <w:szCs w:val="20"/>
                <w:lang w:val="en-GB" w:eastAsia="es-ES"/>
              </w:rPr>
              <w:t xml:space="preserve">ublic </w:t>
            </w:r>
            <w:r w:rsidRPr="003037A0">
              <w:rPr>
                <w:b w:val="0"/>
                <w:color w:val="000000"/>
                <w:szCs w:val="20"/>
                <w:lang w:val="en-GB" w:eastAsia="es-ES"/>
              </w:rPr>
              <w:t>t</w:t>
            </w:r>
            <w:r w:rsidRPr="00D778FE">
              <w:rPr>
                <w:b w:val="0"/>
                <w:color w:val="000000"/>
                <w:szCs w:val="20"/>
                <w:lang w:val="en-GB" w:eastAsia="es-ES"/>
              </w:rPr>
              <w:t>ransport</w:t>
            </w:r>
          </w:p>
        </w:tc>
        <w:tc>
          <w:tcPr>
            <w:tcW w:w="1276" w:type="dxa"/>
            <w:shd w:val="clear" w:color="auto" w:fill="auto"/>
            <w:vAlign w:val="center"/>
            <w:hideMark/>
          </w:tcPr>
          <w:p w:rsidR="00E74DEC" w:rsidRPr="00D778FE" w:rsidRDefault="00E74DEC" w:rsidP="00494FA4">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778FE">
              <w:rPr>
                <w:b w:val="0"/>
                <w:color w:val="000000"/>
                <w:szCs w:val="20"/>
                <w:lang w:val="en-GB" w:eastAsia="es-ES"/>
              </w:rPr>
              <w:t>Daily multimodal users</w:t>
            </w:r>
          </w:p>
        </w:tc>
        <w:tc>
          <w:tcPr>
            <w:tcW w:w="1220" w:type="dxa"/>
            <w:shd w:val="clear" w:color="auto" w:fill="auto"/>
            <w:vAlign w:val="center"/>
            <w:hideMark/>
          </w:tcPr>
          <w:p w:rsidR="00E74DEC" w:rsidRPr="00D778FE" w:rsidRDefault="00E74DEC" w:rsidP="00494FA4">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778FE">
              <w:rPr>
                <w:b w:val="0"/>
                <w:color w:val="000000"/>
                <w:szCs w:val="20"/>
                <w:lang w:val="en-GB" w:eastAsia="es-ES"/>
              </w:rPr>
              <w:t xml:space="preserve">Users of </w:t>
            </w:r>
            <w:r w:rsidRPr="003037A0">
              <w:rPr>
                <w:b w:val="0"/>
                <w:color w:val="000000"/>
                <w:szCs w:val="20"/>
                <w:lang w:val="en-GB" w:eastAsia="es-ES"/>
              </w:rPr>
              <w:t>s</w:t>
            </w:r>
            <w:r w:rsidRPr="00D778FE">
              <w:rPr>
                <w:b w:val="0"/>
                <w:color w:val="000000"/>
                <w:szCs w:val="20"/>
                <w:lang w:val="en-GB" w:eastAsia="es-ES"/>
              </w:rPr>
              <w:t xml:space="preserve">hared </w:t>
            </w:r>
            <w:r w:rsidRPr="003037A0">
              <w:rPr>
                <w:b w:val="0"/>
                <w:color w:val="000000"/>
                <w:szCs w:val="20"/>
                <w:lang w:val="en-GB" w:eastAsia="es-ES"/>
              </w:rPr>
              <w:t>s</w:t>
            </w:r>
            <w:r w:rsidRPr="00D778FE">
              <w:rPr>
                <w:b w:val="0"/>
                <w:color w:val="000000"/>
                <w:szCs w:val="20"/>
                <w:lang w:val="en-GB" w:eastAsia="es-ES"/>
              </w:rPr>
              <w:t>ervices</w:t>
            </w:r>
          </w:p>
        </w:tc>
      </w:tr>
      <w:tr w:rsidR="00E74DEC" w:rsidRPr="003037A0" w:rsidTr="00AE36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noWrap/>
            <w:vAlign w:val="center"/>
            <w:hideMark/>
          </w:tcPr>
          <w:p w:rsidR="00E74DEC" w:rsidRPr="00494FA4" w:rsidRDefault="00E74DEC" w:rsidP="00494FA4">
            <w:pPr>
              <w:spacing w:before="40" w:after="40"/>
              <w:rPr>
                <w:b w:val="0"/>
                <w:color w:val="000000"/>
                <w:szCs w:val="20"/>
                <w:lang w:val="en-GB" w:eastAsia="es-ES"/>
              </w:rPr>
            </w:pPr>
            <w:r w:rsidRPr="00494FA4">
              <w:rPr>
                <w:b w:val="0"/>
                <w:color w:val="000000"/>
                <w:szCs w:val="20"/>
                <w:lang w:val="en-GB" w:eastAsia="es-ES"/>
              </w:rPr>
              <w:t>Employed</w:t>
            </w:r>
          </w:p>
        </w:tc>
        <w:tc>
          <w:tcPr>
            <w:tcW w:w="895" w:type="dxa"/>
            <w:shd w:val="clear" w:color="auto" w:fill="auto"/>
            <w:vAlign w:val="center"/>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74</w:t>
            </w:r>
            <w:r w:rsidR="00494FA4">
              <w:rPr>
                <w:color w:val="000000"/>
                <w:szCs w:val="20"/>
                <w:lang w:eastAsia="es-ES"/>
              </w:rPr>
              <w:t>.25</w:t>
            </w:r>
            <w:r>
              <w:rPr>
                <w:color w:val="000000"/>
                <w:szCs w:val="20"/>
                <w:lang w:eastAsia="es-ES"/>
              </w:rPr>
              <w:t>%</w:t>
            </w:r>
          </w:p>
        </w:tc>
        <w:tc>
          <w:tcPr>
            <w:tcW w:w="1090" w:type="dxa"/>
            <w:shd w:val="clear" w:color="auto" w:fill="auto"/>
            <w:noWrap/>
            <w:vAlign w:val="center"/>
            <w:hideMark/>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778FE">
              <w:rPr>
                <w:color w:val="000000"/>
                <w:szCs w:val="20"/>
                <w:lang w:val="en-GB" w:eastAsia="es-ES"/>
              </w:rPr>
              <w:t>92.17%</w:t>
            </w:r>
          </w:p>
        </w:tc>
        <w:tc>
          <w:tcPr>
            <w:tcW w:w="1134" w:type="dxa"/>
            <w:shd w:val="clear" w:color="auto" w:fill="auto"/>
            <w:noWrap/>
            <w:vAlign w:val="center"/>
            <w:hideMark/>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778FE">
              <w:rPr>
                <w:color w:val="000000"/>
                <w:szCs w:val="20"/>
                <w:lang w:val="en-GB" w:eastAsia="es-ES"/>
              </w:rPr>
              <w:t>86.80%</w:t>
            </w:r>
          </w:p>
        </w:tc>
        <w:tc>
          <w:tcPr>
            <w:tcW w:w="1275" w:type="dxa"/>
            <w:shd w:val="clear" w:color="auto" w:fill="auto"/>
            <w:noWrap/>
            <w:vAlign w:val="center"/>
            <w:hideMark/>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778FE">
              <w:rPr>
                <w:color w:val="000000"/>
                <w:szCs w:val="20"/>
                <w:lang w:val="en-GB" w:eastAsia="es-ES"/>
              </w:rPr>
              <w:t>58.39%</w:t>
            </w:r>
          </w:p>
        </w:tc>
        <w:tc>
          <w:tcPr>
            <w:tcW w:w="1276" w:type="dxa"/>
            <w:shd w:val="clear" w:color="auto" w:fill="auto"/>
            <w:noWrap/>
            <w:vAlign w:val="center"/>
            <w:hideMark/>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778FE">
              <w:rPr>
                <w:color w:val="000000"/>
                <w:szCs w:val="20"/>
                <w:lang w:val="en-GB" w:eastAsia="es-ES"/>
              </w:rPr>
              <w:t>51.01%</w:t>
            </w:r>
          </w:p>
        </w:tc>
        <w:tc>
          <w:tcPr>
            <w:tcW w:w="1220" w:type="dxa"/>
            <w:shd w:val="clear" w:color="auto" w:fill="auto"/>
            <w:noWrap/>
            <w:vAlign w:val="center"/>
            <w:hideMark/>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778FE">
              <w:rPr>
                <w:color w:val="000000"/>
                <w:szCs w:val="20"/>
                <w:lang w:val="en-GB" w:eastAsia="es-ES"/>
              </w:rPr>
              <w:t>32.89%</w:t>
            </w:r>
          </w:p>
        </w:tc>
      </w:tr>
      <w:tr w:rsidR="00E74DEC" w:rsidRPr="003037A0" w:rsidTr="00AE36E9">
        <w:trPr>
          <w:trHeight w:val="330"/>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noWrap/>
            <w:vAlign w:val="center"/>
            <w:hideMark/>
          </w:tcPr>
          <w:p w:rsidR="00E74DEC" w:rsidRPr="00494FA4" w:rsidRDefault="00E74DEC" w:rsidP="00494FA4">
            <w:pPr>
              <w:spacing w:before="40" w:after="40"/>
              <w:rPr>
                <w:b w:val="0"/>
                <w:color w:val="000000"/>
                <w:szCs w:val="20"/>
                <w:lang w:val="en-GB" w:eastAsia="es-ES"/>
              </w:rPr>
            </w:pPr>
            <w:r w:rsidRPr="00494FA4">
              <w:rPr>
                <w:b w:val="0"/>
                <w:color w:val="000000"/>
                <w:szCs w:val="20"/>
                <w:lang w:val="en-GB" w:eastAsia="es-ES"/>
              </w:rPr>
              <w:t>Unemployed</w:t>
            </w:r>
          </w:p>
        </w:tc>
        <w:tc>
          <w:tcPr>
            <w:tcW w:w="895" w:type="dxa"/>
            <w:shd w:val="clear" w:color="auto" w:fill="auto"/>
            <w:vAlign w:val="center"/>
          </w:tcPr>
          <w:p w:rsidR="00E74DEC" w:rsidRPr="00D778FE" w:rsidRDefault="00494FA4"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eastAsia="es-ES"/>
              </w:rPr>
            </w:pPr>
            <w:r>
              <w:rPr>
                <w:color w:val="000000"/>
                <w:szCs w:val="20"/>
                <w:lang w:eastAsia="es-ES"/>
              </w:rPr>
              <w:t>4.49%</w:t>
            </w:r>
          </w:p>
        </w:tc>
        <w:tc>
          <w:tcPr>
            <w:tcW w:w="1090" w:type="dxa"/>
            <w:shd w:val="clear" w:color="auto" w:fill="auto"/>
            <w:noWrap/>
            <w:vAlign w:val="center"/>
            <w:hideMark/>
          </w:tcPr>
          <w:p w:rsidR="00E74DEC" w:rsidRPr="00D778FE" w:rsidRDefault="00E74DEC"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778FE">
              <w:rPr>
                <w:color w:val="000000"/>
                <w:szCs w:val="20"/>
                <w:lang w:val="en-GB" w:eastAsia="es-ES"/>
              </w:rPr>
              <w:t>81.48%</w:t>
            </w:r>
          </w:p>
        </w:tc>
        <w:tc>
          <w:tcPr>
            <w:tcW w:w="1134" w:type="dxa"/>
            <w:shd w:val="clear" w:color="auto" w:fill="auto"/>
            <w:noWrap/>
            <w:vAlign w:val="center"/>
            <w:hideMark/>
          </w:tcPr>
          <w:p w:rsidR="00E74DEC" w:rsidRPr="00D778FE" w:rsidRDefault="00E74DEC"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778FE">
              <w:rPr>
                <w:color w:val="000000"/>
                <w:szCs w:val="20"/>
                <w:lang w:val="en-GB" w:eastAsia="es-ES"/>
              </w:rPr>
              <w:t>74.07%</w:t>
            </w:r>
          </w:p>
        </w:tc>
        <w:tc>
          <w:tcPr>
            <w:tcW w:w="1275" w:type="dxa"/>
            <w:shd w:val="clear" w:color="auto" w:fill="auto"/>
            <w:noWrap/>
            <w:vAlign w:val="center"/>
            <w:hideMark/>
          </w:tcPr>
          <w:p w:rsidR="00E74DEC" w:rsidRPr="00D778FE" w:rsidRDefault="00E74DEC"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778FE">
              <w:rPr>
                <w:color w:val="000000"/>
                <w:szCs w:val="20"/>
                <w:lang w:val="en-GB" w:eastAsia="es-ES"/>
              </w:rPr>
              <w:t>74.07%</w:t>
            </w:r>
          </w:p>
        </w:tc>
        <w:tc>
          <w:tcPr>
            <w:tcW w:w="1276" w:type="dxa"/>
            <w:shd w:val="clear" w:color="auto" w:fill="auto"/>
            <w:noWrap/>
            <w:vAlign w:val="center"/>
            <w:hideMark/>
          </w:tcPr>
          <w:p w:rsidR="00E74DEC" w:rsidRPr="00D778FE" w:rsidRDefault="00E74DEC"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778FE">
              <w:rPr>
                <w:color w:val="000000"/>
                <w:szCs w:val="20"/>
                <w:lang w:val="en-GB" w:eastAsia="es-ES"/>
              </w:rPr>
              <w:t>44.44%</w:t>
            </w:r>
          </w:p>
        </w:tc>
        <w:tc>
          <w:tcPr>
            <w:tcW w:w="1220" w:type="dxa"/>
            <w:shd w:val="clear" w:color="auto" w:fill="auto"/>
            <w:noWrap/>
            <w:vAlign w:val="center"/>
            <w:hideMark/>
          </w:tcPr>
          <w:p w:rsidR="00E74DEC" w:rsidRPr="00D778FE" w:rsidRDefault="00E74DEC"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778FE">
              <w:rPr>
                <w:color w:val="000000"/>
                <w:szCs w:val="20"/>
                <w:lang w:val="en-GB" w:eastAsia="es-ES"/>
              </w:rPr>
              <w:t>18.52%</w:t>
            </w:r>
          </w:p>
        </w:tc>
      </w:tr>
      <w:tr w:rsidR="00E74DEC" w:rsidRPr="003037A0" w:rsidTr="00AE36E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hideMark/>
          </w:tcPr>
          <w:p w:rsidR="00E74DEC" w:rsidRPr="00494FA4" w:rsidRDefault="00E74DEC" w:rsidP="00494FA4">
            <w:pPr>
              <w:spacing w:before="40" w:after="40"/>
              <w:rPr>
                <w:b w:val="0"/>
                <w:color w:val="000000"/>
                <w:szCs w:val="20"/>
                <w:lang w:val="en-GB" w:eastAsia="es-ES"/>
              </w:rPr>
            </w:pPr>
            <w:r w:rsidRPr="00494FA4">
              <w:rPr>
                <w:b w:val="0"/>
                <w:color w:val="000000"/>
                <w:szCs w:val="20"/>
                <w:lang w:val="en-GB" w:eastAsia="es-ES"/>
              </w:rPr>
              <w:t>Student (also working)</w:t>
            </w:r>
          </w:p>
        </w:tc>
        <w:tc>
          <w:tcPr>
            <w:tcW w:w="895" w:type="dxa"/>
            <w:shd w:val="clear" w:color="auto" w:fill="auto"/>
            <w:vAlign w:val="center"/>
          </w:tcPr>
          <w:p w:rsidR="00E74DEC" w:rsidRPr="00D778FE" w:rsidRDefault="00494FA4"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6.98%</w:t>
            </w:r>
          </w:p>
        </w:tc>
        <w:tc>
          <w:tcPr>
            <w:tcW w:w="1090" w:type="dxa"/>
            <w:shd w:val="clear" w:color="auto" w:fill="auto"/>
            <w:noWrap/>
            <w:vAlign w:val="center"/>
            <w:hideMark/>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778FE">
              <w:rPr>
                <w:color w:val="000000"/>
                <w:szCs w:val="20"/>
                <w:lang w:val="en-GB" w:eastAsia="es-ES"/>
              </w:rPr>
              <w:t>78.57%</w:t>
            </w:r>
          </w:p>
        </w:tc>
        <w:tc>
          <w:tcPr>
            <w:tcW w:w="1134" w:type="dxa"/>
            <w:shd w:val="clear" w:color="auto" w:fill="auto"/>
            <w:noWrap/>
            <w:vAlign w:val="center"/>
            <w:hideMark/>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778FE">
              <w:rPr>
                <w:color w:val="000000"/>
                <w:szCs w:val="20"/>
                <w:lang w:val="en-GB" w:eastAsia="es-ES"/>
              </w:rPr>
              <w:t>73.81%</w:t>
            </w:r>
          </w:p>
        </w:tc>
        <w:tc>
          <w:tcPr>
            <w:tcW w:w="1275" w:type="dxa"/>
            <w:shd w:val="clear" w:color="auto" w:fill="auto"/>
            <w:noWrap/>
            <w:vAlign w:val="center"/>
            <w:hideMark/>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778FE">
              <w:rPr>
                <w:color w:val="000000"/>
                <w:szCs w:val="20"/>
                <w:lang w:val="en-GB" w:eastAsia="es-ES"/>
              </w:rPr>
              <w:t>76.19%</w:t>
            </w:r>
          </w:p>
        </w:tc>
        <w:tc>
          <w:tcPr>
            <w:tcW w:w="1276" w:type="dxa"/>
            <w:shd w:val="clear" w:color="auto" w:fill="auto"/>
            <w:noWrap/>
            <w:vAlign w:val="center"/>
            <w:hideMark/>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778FE">
              <w:rPr>
                <w:color w:val="000000"/>
                <w:szCs w:val="20"/>
                <w:lang w:val="en-GB" w:eastAsia="es-ES"/>
              </w:rPr>
              <w:t>64.29%</w:t>
            </w:r>
          </w:p>
        </w:tc>
        <w:tc>
          <w:tcPr>
            <w:tcW w:w="1220" w:type="dxa"/>
            <w:shd w:val="clear" w:color="auto" w:fill="auto"/>
            <w:noWrap/>
            <w:vAlign w:val="center"/>
            <w:hideMark/>
          </w:tcPr>
          <w:p w:rsidR="00E74DEC" w:rsidRPr="00D778FE" w:rsidRDefault="00E74DEC"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778FE">
              <w:rPr>
                <w:color w:val="000000"/>
                <w:szCs w:val="20"/>
                <w:lang w:val="en-GB" w:eastAsia="es-ES"/>
              </w:rPr>
              <w:t>50.00%</w:t>
            </w:r>
          </w:p>
        </w:tc>
      </w:tr>
      <w:tr w:rsidR="00E74DEC" w:rsidRPr="003037A0" w:rsidTr="00AE36E9">
        <w:trPr>
          <w:trHeight w:val="431"/>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hideMark/>
          </w:tcPr>
          <w:p w:rsidR="00E74DEC" w:rsidRPr="00494FA4" w:rsidRDefault="00E74DEC" w:rsidP="00494FA4">
            <w:pPr>
              <w:spacing w:before="40" w:after="40"/>
              <w:rPr>
                <w:b w:val="0"/>
                <w:color w:val="000000"/>
                <w:szCs w:val="20"/>
                <w:lang w:val="en-GB" w:eastAsia="es-ES"/>
              </w:rPr>
            </w:pPr>
            <w:r w:rsidRPr="00494FA4">
              <w:rPr>
                <w:b w:val="0"/>
                <w:color w:val="000000"/>
                <w:szCs w:val="20"/>
                <w:lang w:val="en-GB" w:eastAsia="es-ES"/>
              </w:rPr>
              <w:t>Student (exclusively)</w:t>
            </w:r>
          </w:p>
        </w:tc>
        <w:tc>
          <w:tcPr>
            <w:tcW w:w="895" w:type="dxa"/>
            <w:shd w:val="clear" w:color="auto" w:fill="auto"/>
            <w:vAlign w:val="center"/>
          </w:tcPr>
          <w:p w:rsidR="00E74DEC" w:rsidRPr="00D778FE" w:rsidRDefault="00494FA4"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eastAsia="es-ES"/>
              </w:rPr>
            </w:pPr>
            <w:r>
              <w:rPr>
                <w:color w:val="000000"/>
                <w:szCs w:val="20"/>
                <w:lang w:eastAsia="es-ES"/>
              </w:rPr>
              <w:t>8.47%</w:t>
            </w:r>
          </w:p>
        </w:tc>
        <w:tc>
          <w:tcPr>
            <w:tcW w:w="1090" w:type="dxa"/>
            <w:shd w:val="clear" w:color="auto" w:fill="auto"/>
            <w:noWrap/>
            <w:vAlign w:val="center"/>
            <w:hideMark/>
          </w:tcPr>
          <w:p w:rsidR="00E74DEC" w:rsidRPr="00D778FE" w:rsidRDefault="00E74DEC"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778FE">
              <w:rPr>
                <w:color w:val="000000"/>
                <w:szCs w:val="20"/>
                <w:lang w:val="en-GB" w:eastAsia="es-ES"/>
              </w:rPr>
              <w:t>45.10%</w:t>
            </w:r>
          </w:p>
        </w:tc>
        <w:tc>
          <w:tcPr>
            <w:tcW w:w="1134" w:type="dxa"/>
            <w:shd w:val="clear" w:color="auto" w:fill="auto"/>
            <w:noWrap/>
            <w:vAlign w:val="center"/>
            <w:hideMark/>
          </w:tcPr>
          <w:p w:rsidR="00E74DEC" w:rsidRPr="00D778FE" w:rsidRDefault="00E74DEC"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778FE">
              <w:rPr>
                <w:color w:val="000000"/>
                <w:szCs w:val="20"/>
                <w:lang w:val="en-GB" w:eastAsia="es-ES"/>
              </w:rPr>
              <w:t>54.90%</w:t>
            </w:r>
          </w:p>
        </w:tc>
        <w:tc>
          <w:tcPr>
            <w:tcW w:w="1275" w:type="dxa"/>
            <w:shd w:val="clear" w:color="auto" w:fill="auto"/>
            <w:noWrap/>
            <w:vAlign w:val="center"/>
            <w:hideMark/>
          </w:tcPr>
          <w:p w:rsidR="00E74DEC" w:rsidRPr="00D778FE" w:rsidRDefault="00E74DEC"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778FE">
              <w:rPr>
                <w:color w:val="000000"/>
                <w:szCs w:val="20"/>
                <w:lang w:val="en-GB" w:eastAsia="es-ES"/>
              </w:rPr>
              <w:t>96.08%</w:t>
            </w:r>
          </w:p>
        </w:tc>
        <w:tc>
          <w:tcPr>
            <w:tcW w:w="1276" w:type="dxa"/>
            <w:shd w:val="clear" w:color="auto" w:fill="auto"/>
            <w:noWrap/>
            <w:vAlign w:val="center"/>
            <w:hideMark/>
          </w:tcPr>
          <w:p w:rsidR="00E74DEC" w:rsidRPr="00D778FE" w:rsidRDefault="00E74DEC"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778FE">
              <w:rPr>
                <w:color w:val="000000"/>
                <w:szCs w:val="20"/>
                <w:lang w:val="en-GB" w:eastAsia="es-ES"/>
              </w:rPr>
              <w:t>72.55%</w:t>
            </w:r>
          </w:p>
        </w:tc>
        <w:tc>
          <w:tcPr>
            <w:tcW w:w="1220" w:type="dxa"/>
            <w:shd w:val="clear" w:color="auto" w:fill="auto"/>
            <w:noWrap/>
            <w:vAlign w:val="center"/>
            <w:hideMark/>
          </w:tcPr>
          <w:p w:rsidR="00E74DEC" w:rsidRPr="00D778FE" w:rsidRDefault="00E74DEC" w:rsidP="00494FA4">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778FE">
              <w:rPr>
                <w:color w:val="000000"/>
                <w:szCs w:val="20"/>
                <w:lang w:val="en-GB" w:eastAsia="es-ES"/>
              </w:rPr>
              <w:t>35.29%</w:t>
            </w:r>
          </w:p>
        </w:tc>
      </w:tr>
      <w:tr w:rsidR="00494FA4" w:rsidRPr="003037A0" w:rsidTr="00AE36E9">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1668" w:type="dxa"/>
            <w:shd w:val="clear" w:color="auto" w:fill="auto"/>
            <w:vAlign w:val="center"/>
          </w:tcPr>
          <w:p w:rsidR="00494FA4" w:rsidRPr="00494FA4" w:rsidRDefault="00494FA4" w:rsidP="00494FA4">
            <w:pPr>
              <w:spacing w:before="40" w:after="40"/>
              <w:rPr>
                <w:b w:val="0"/>
                <w:color w:val="000000"/>
                <w:szCs w:val="20"/>
                <w:lang w:val="en-GB" w:eastAsia="es-ES"/>
              </w:rPr>
            </w:pPr>
            <w:r w:rsidRPr="00494FA4">
              <w:rPr>
                <w:b w:val="0"/>
                <w:color w:val="000000"/>
                <w:szCs w:val="20"/>
                <w:lang w:val="en-GB" w:eastAsia="es-ES"/>
              </w:rPr>
              <w:t>Decline to respond</w:t>
            </w:r>
          </w:p>
        </w:tc>
        <w:tc>
          <w:tcPr>
            <w:tcW w:w="895" w:type="dxa"/>
            <w:shd w:val="clear" w:color="auto" w:fill="auto"/>
            <w:vAlign w:val="center"/>
          </w:tcPr>
          <w:p w:rsidR="00494FA4" w:rsidRPr="00D778FE" w:rsidRDefault="00494FA4"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5.81%</w:t>
            </w:r>
          </w:p>
        </w:tc>
        <w:tc>
          <w:tcPr>
            <w:tcW w:w="1090" w:type="dxa"/>
            <w:shd w:val="clear" w:color="auto" w:fill="auto"/>
            <w:noWrap/>
            <w:vAlign w:val="center"/>
          </w:tcPr>
          <w:p w:rsidR="00494FA4" w:rsidRPr="00D778FE" w:rsidRDefault="00494FA4"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94.29%</w:t>
            </w:r>
          </w:p>
        </w:tc>
        <w:tc>
          <w:tcPr>
            <w:tcW w:w="1134" w:type="dxa"/>
            <w:shd w:val="clear" w:color="auto" w:fill="auto"/>
            <w:noWrap/>
            <w:vAlign w:val="center"/>
          </w:tcPr>
          <w:p w:rsidR="00494FA4" w:rsidRPr="00D778FE" w:rsidRDefault="00494FA4"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88.57%</w:t>
            </w:r>
          </w:p>
        </w:tc>
        <w:tc>
          <w:tcPr>
            <w:tcW w:w="1275" w:type="dxa"/>
            <w:shd w:val="clear" w:color="auto" w:fill="auto"/>
            <w:noWrap/>
            <w:vAlign w:val="center"/>
          </w:tcPr>
          <w:p w:rsidR="00494FA4" w:rsidRPr="00D778FE" w:rsidRDefault="00AE36E9"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57.14%</w:t>
            </w:r>
          </w:p>
        </w:tc>
        <w:tc>
          <w:tcPr>
            <w:tcW w:w="1276" w:type="dxa"/>
            <w:shd w:val="clear" w:color="auto" w:fill="auto"/>
            <w:noWrap/>
            <w:vAlign w:val="center"/>
          </w:tcPr>
          <w:p w:rsidR="00494FA4" w:rsidRPr="00D778FE" w:rsidRDefault="00AE36E9"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51.43%</w:t>
            </w:r>
          </w:p>
        </w:tc>
        <w:tc>
          <w:tcPr>
            <w:tcW w:w="1220" w:type="dxa"/>
            <w:shd w:val="clear" w:color="auto" w:fill="auto"/>
            <w:noWrap/>
            <w:vAlign w:val="center"/>
          </w:tcPr>
          <w:p w:rsidR="00494FA4" w:rsidRPr="00D778FE" w:rsidRDefault="00AE36E9" w:rsidP="00494FA4">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34.29%</w:t>
            </w:r>
          </w:p>
        </w:tc>
      </w:tr>
    </w:tbl>
    <w:p w:rsidR="005E2B33" w:rsidRDefault="008B15A6" w:rsidP="008B15A6">
      <w:pPr>
        <w:pStyle w:val="Text"/>
        <w:jc w:val="center"/>
        <w:rPr>
          <w:sz w:val="20"/>
          <w:szCs w:val="20"/>
        </w:rPr>
      </w:pPr>
      <w:r w:rsidRPr="00F14955">
        <w:rPr>
          <w:sz w:val="18"/>
          <w:szCs w:val="18"/>
        </w:rPr>
        <w:t xml:space="preserve">Table </w:t>
      </w:r>
      <w:r>
        <w:rPr>
          <w:sz w:val="18"/>
          <w:szCs w:val="18"/>
        </w:rPr>
        <w:t>1</w:t>
      </w:r>
      <w:r w:rsidRPr="00F14955">
        <w:rPr>
          <w:sz w:val="18"/>
          <w:szCs w:val="18"/>
        </w:rPr>
        <w:t xml:space="preserve">. </w:t>
      </w:r>
      <w:r w:rsidRPr="00AC5D71">
        <w:rPr>
          <w:sz w:val="18"/>
          <w:szCs w:val="18"/>
        </w:rPr>
        <w:t>Classification of the</w:t>
      </w:r>
      <w:r>
        <w:rPr>
          <w:sz w:val="18"/>
          <w:szCs w:val="18"/>
        </w:rPr>
        <w:t xml:space="preserve"> mobility behaviour of respondents </w:t>
      </w:r>
      <w:r w:rsidRPr="00AC5D71">
        <w:rPr>
          <w:sz w:val="18"/>
          <w:szCs w:val="18"/>
        </w:rPr>
        <w:t xml:space="preserve">by </w:t>
      </w:r>
      <w:r>
        <w:rPr>
          <w:sz w:val="18"/>
          <w:szCs w:val="18"/>
        </w:rPr>
        <w:t>employment situation</w:t>
      </w:r>
    </w:p>
    <w:p w:rsidR="002C0B7B" w:rsidRPr="00D34B31" w:rsidRDefault="009569CC" w:rsidP="00D34B31">
      <w:pPr>
        <w:pStyle w:val="Text"/>
      </w:pPr>
      <w:r>
        <w:t xml:space="preserve">Age analysis revealed that </w:t>
      </w:r>
      <w:r w:rsidRPr="00BC4836">
        <w:t xml:space="preserve">the </w:t>
      </w:r>
      <w:r>
        <w:t>30</w:t>
      </w:r>
      <w:r w:rsidRPr="00BC4836">
        <w:t>-to-</w:t>
      </w:r>
      <w:r>
        <w:t>45</w:t>
      </w:r>
      <w:r w:rsidRPr="00BC4836">
        <w:t xml:space="preserve"> age segment </w:t>
      </w:r>
      <w:r>
        <w:t>had almost identical mobility behaviour as the 46</w:t>
      </w:r>
      <w:r w:rsidRPr="00BC4836">
        <w:t>-to-</w:t>
      </w:r>
      <w:r>
        <w:t>55</w:t>
      </w:r>
      <w:r w:rsidRPr="00BC4836">
        <w:t xml:space="preserve"> age segment</w:t>
      </w:r>
      <w:r>
        <w:t>, except for the use of shared services</w:t>
      </w:r>
      <w:r w:rsidR="00F0097A">
        <w:t xml:space="preserve"> (Table </w:t>
      </w:r>
      <w:r w:rsidR="0040669B">
        <w:t>2</w:t>
      </w:r>
      <w:r w:rsidR="00F0097A">
        <w:t>)</w:t>
      </w:r>
      <w:r>
        <w:t xml:space="preserve">. </w:t>
      </w:r>
      <w:r w:rsidR="005403F4" w:rsidRPr="005403F4">
        <w:t xml:space="preserve">Again, the first </w:t>
      </w:r>
      <w:r w:rsidR="00DF195B" w:rsidRPr="005403F4">
        <w:t>column</w:t>
      </w:r>
      <w:r w:rsidR="005403F4" w:rsidRPr="005403F4">
        <w:t xml:space="preserve"> shows the percentage of people from the sample that belongs to each category. </w:t>
      </w:r>
      <w:r>
        <w:t xml:space="preserve">Comparing </w:t>
      </w:r>
      <w:r w:rsidR="00EA7222">
        <w:t xml:space="preserve">both segments </w:t>
      </w:r>
      <w:r>
        <w:t xml:space="preserve">with the 18-to-29 age </w:t>
      </w:r>
      <w:r w:rsidR="00EA7222">
        <w:t>group</w:t>
      </w:r>
      <w:r>
        <w:t xml:space="preserve">, they had up to </w:t>
      </w:r>
      <w:r w:rsidR="00C3300D">
        <w:t>20.73</w:t>
      </w:r>
      <w:r>
        <w:t>% more driving licences</w:t>
      </w:r>
      <w:r w:rsidR="00C3300D">
        <w:t xml:space="preserve"> (94% vs 73.27%)</w:t>
      </w:r>
      <w:r>
        <w:t xml:space="preserve"> and up to 19</w:t>
      </w:r>
      <w:r w:rsidR="00C3300D">
        <w:t>.20</w:t>
      </w:r>
      <w:r>
        <w:t>% more car access</w:t>
      </w:r>
      <w:r w:rsidR="00C3300D">
        <w:t xml:space="preserve"> (89.50% vs 70.30%)</w:t>
      </w:r>
      <w:r>
        <w:t xml:space="preserve"> and they used public transport up to </w:t>
      </w:r>
      <w:r w:rsidR="00C3300D">
        <w:t>26.69</w:t>
      </w:r>
      <w:r>
        <w:t xml:space="preserve">% less </w:t>
      </w:r>
      <w:r w:rsidR="00C3300D">
        <w:t xml:space="preserve">(54.50% vs 81.19%) </w:t>
      </w:r>
      <w:r>
        <w:t>and were up to 20</w:t>
      </w:r>
      <w:r w:rsidR="00C3300D">
        <w:t>.33</w:t>
      </w:r>
      <w:r>
        <w:t>% less multimodal</w:t>
      </w:r>
      <w:r w:rsidR="00C3300D">
        <w:t xml:space="preserve"> (46.50% vs 66.83%)</w:t>
      </w:r>
      <w:r>
        <w:t xml:space="preserve">. </w:t>
      </w:r>
      <w:r w:rsidR="00D34B31">
        <w:t xml:space="preserve"> </w:t>
      </w:r>
    </w:p>
    <w:tbl>
      <w:tblPr>
        <w:tblStyle w:val="Sombreadoclaro"/>
        <w:tblW w:w="8589" w:type="dxa"/>
        <w:tblLook w:val="04A0" w:firstRow="1" w:lastRow="0" w:firstColumn="1" w:lastColumn="0" w:noHBand="0" w:noVBand="1"/>
      </w:tblPr>
      <w:tblGrid>
        <w:gridCol w:w="1101"/>
        <w:gridCol w:w="1134"/>
        <w:gridCol w:w="1275"/>
        <w:gridCol w:w="1276"/>
        <w:gridCol w:w="1276"/>
        <w:gridCol w:w="1276"/>
        <w:gridCol w:w="1251"/>
      </w:tblGrid>
      <w:tr w:rsidR="00AE36E9" w:rsidRPr="00D34B31" w:rsidTr="00AE36E9">
        <w:trPr>
          <w:cnfStyle w:val="100000000000" w:firstRow="1" w:lastRow="0"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vAlign w:val="center"/>
            <w:hideMark/>
          </w:tcPr>
          <w:p w:rsidR="00AE36E9" w:rsidRPr="00D34B31" w:rsidRDefault="00AE36E9" w:rsidP="00AE36E9">
            <w:pPr>
              <w:spacing w:before="40" w:after="40"/>
              <w:rPr>
                <w:b w:val="0"/>
                <w:color w:val="000000"/>
                <w:szCs w:val="20"/>
                <w:lang w:val="en-GB" w:eastAsia="es-ES"/>
              </w:rPr>
            </w:pPr>
            <w:r w:rsidRPr="00D34B31">
              <w:rPr>
                <w:b w:val="0"/>
                <w:color w:val="000000"/>
                <w:szCs w:val="20"/>
                <w:lang w:val="en-GB" w:eastAsia="es-ES"/>
              </w:rPr>
              <w:t>Age</w:t>
            </w:r>
          </w:p>
        </w:tc>
        <w:tc>
          <w:tcPr>
            <w:tcW w:w="1134" w:type="dxa"/>
            <w:shd w:val="clear" w:color="auto" w:fill="auto"/>
            <w:vAlign w:val="center"/>
          </w:tcPr>
          <w:p w:rsidR="00AE36E9" w:rsidRPr="00D34B31" w:rsidRDefault="00AE36E9" w:rsidP="00AE36E9">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eastAsia="es-ES"/>
              </w:rPr>
            </w:pPr>
            <w:r>
              <w:rPr>
                <w:b w:val="0"/>
                <w:color w:val="000000"/>
                <w:szCs w:val="20"/>
                <w:lang w:eastAsia="es-ES"/>
              </w:rPr>
              <w:t>n</w:t>
            </w:r>
          </w:p>
        </w:tc>
        <w:tc>
          <w:tcPr>
            <w:tcW w:w="1275" w:type="dxa"/>
            <w:shd w:val="clear" w:color="auto" w:fill="auto"/>
            <w:vAlign w:val="center"/>
            <w:hideMark/>
          </w:tcPr>
          <w:p w:rsidR="00AE36E9" w:rsidRPr="00D34B31" w:rsidRDefault="00AE36E9" w:rsidP="00AE36E9">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34B31">
              <w:rPr>
                <w:b w:val="0"/>
                <w:color w:val="000000"/>
                <w:szCs w:val="20"/>
                <w:lang w:val="en-GB" w:eastAsia="es-ES"/>
              </w:rPr>
              <w:t>Have a driving license</w:t>
            </w:r>
          </w:p>
        </w:tc>
        <w:tc>
          <w:tcPr>
            <w:tcW w:w="1276" w:type="dxa"/>
            <w:shd w:val="clear" w:color="auto" w:fill="auto"/>
            <w:vAlign w:val="center"/>
            <w:hideMark/>
          </w:tcPr>
          <w:p w:rsidR="00AE36E9" w:rsidRPr="00D34B31" w:rsidRDefault="00AE36E9" w:rsidP="00AE36E9">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34B31">
              <w:rPr>
                <w:b w:val="0"/>
                <w:color w:val="000000"/>
                <w:szCs w:val="20"/>
                <w:lang w:val="en-GB" w:eastAsia="es-ES"/>
              </w:rPr>
              <w:t>Access or owners of  a car</w:t>
            </w:r>
          </w:p>
        </w:tc>
        <w:tc>
          <w:tcPr>
            <w:tcW w:w="1276" w:type="dxa"/>
            <w:shd w:val="clear" w:color="auto" w:fill="auto"/>
            <w:vAlign w:val="center"/>
            <w:hideMark/>
          </w:tcPr>
          <w:p w:rsidR="00AE36E9" w:rsidRPr="00D34B31" w:rsidRDefault="00AE36E9" w:rsidP="00AE36E9">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34B31">
              <w:rPr>
                <w:b w:val="0"/>
                <w:color w:val="000000"/>
                <w:szCs w:val="20"/>
                <w:lang w:val="en-GB" w:eastAsia="es-ES"/>
              </w:rPr>
              <w:t xml:space="preserve">Daily users </w:t>
            </w:r>
          </w:p>
          <w:p w:rsidR="00AE36E9" w:rsidRPr="00D34B31" w:rsidRDefault="00AE36E9" w:rsidP="00AE36E9">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34B31">
              <w:rPr>
                <w:b w:val="0"/>
                <w:color w:val="000000"/>
                <w:szCs w:val="20"/>
                <w:lang w:val="en-GB" w:eastAsia="es-ES"/>
              </w:rPr>
              <w:t>of public transport</w:t>
            </w:r>
          </w:p>
        </w:tc>
        <w:tc>
          <w:tcPr>
            <w:tcW w:w="1276" w:type="dxa"/>
            <w:shd w:val="clear" w:color="auto" w:fill="auto"/>
            <w:vAlign w:val="center"/>
            <w:hideMark/>
          </w:tcPr>
          <w:p w:rsidR="00AE36E9" w:rsidRPr="00D34B31" w:rsidRDefault="00AE36E9" w:rsidP="00AE36E9">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34B31">
              <w:rPr>
                <w:b w:val="0"/>
                <w:color w:val="000000"/>
                <w:szCs w:val="20"/>
                <w:lang w:val="en-GB" w:eastAsia="es-ES"/>
              </w:rPr>
              <w:t>Daily multimodal users</w:t>
            </w:r>
          </w:p>
        </w:tc>
        <w:tc>
          <w:tcPr>
            <w:tcW w:w="1251" w:type="dxa"/>
            <w:shd w:val="clear" w:color="auto" w:fill="auto"/>
            <w:vAlign w:val="center"/>
            <w:hideMark/>
          </w:tcPr>
          <w:p w:rsidR="00AE36E9" w:rsidRPr="00D34B31" w:rsidRDefault="00AE36E9" w:rsidP="00AE36E9">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34B31">
              <w:rPr>
                <w:b w:val="0"/>
                <w:color w:val="000000"/>
                <w:szCs w:val="20"/>
                <w:lang w:val="en-GB" w:eastAsia="es-ES"/>
              </w:rPr>
              <w:t>Users of shared services</w:t>
            </w:r>
          </w:p>
        </w:tc>
      </w:tr>
      <w:tr w:rsidR="00AE36E9" w:rsidRPr="00D34B31" w:rsidTr="00AE36E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vAlign w:val="center"/>
            <w:hideMark/>
          </w:tcPr>
          <w:p w:rsidR="00AE36E9" w:rsidRPr="00D34B31" w:rsidRDefault="00AE36E9" w:rsidP="000527A1">
            <w:pPr>
              <w:spacing w:before="40" w:after="40"/>
              <w:rPr>
                <w:b w:val="0"/>
                <w:color w:val="000000"/>
                <w:szCs w:val="20"/>
                <w:lang w:val="en-GB" w:eastAsia="es-ES"/>
              </w:rPr>
            </w:pPr>
            <w:r w:rsidRPr="00D34B31">
              <w:rPr>
                <w:b w:val="0"/>
                <w:color w:val="000000"/>
                <w:szCs w:val="20"/>
                <w:lang w:val="en-GB" w:eastAsia="es-ES"/>
              </w:rPr>
              <w:t>18-29</w:t>
            </w:r>
          </w:p>
        </w:tc>
        <w:tc>
          <w:tcPr>
            <w:tcW w:w="1134" w:type="dxa"/>
            <w:shd w:val="clear" w:color="auto" w:fill="auto"/>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33.55%</w:t>
            </w:r>
          </w:p>
        </w:tc>
        <w:tc>
          <w:tcPr>
            <w:tcW w:w="1275" w:type="dxa"/>
            <w:shd w:val="clear" w:color="auto" w:fill="auto"/>
            <w:noWrap/>
            <w:vAlign w:val="center"/>
            <w:hideMark/>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34B31">
              <w:rPr>
                <w:color w:val="000000"/>
                <w:szCs w:val="20"/>
                <w:lang w:val="en-GB" w:eastAsia="es-ES"/>
              </w:rPr>
              <w:t>73.27%</w:t>
            </w:r>
          </w:p>
        </w:tc>
        <w:tc>
          <w:tcPr>
            <w:tcW w:w="1276" w:type="dxa"/>
            <w:shd w:val="clear" w:color="auto" w:fill="auto"/>
            <w:noWrap/>
            <w:vAlign w:val="center"/>
            <w:hideMark/>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34B31">
              <w:rPr>
                <w:color w:val="000000"/>
                <w:szCs w:val="20"/>
                <w:lang w:val="en-GB" w:eastAsia="es-ES"/>
              </w:rPr>
              <w:t>70.30%</w:t>
            </w:r>
          </w:p>
        </w:tc>
        <w:tc>
          <w:tcPr>
            <w:tcW w:w="1276" w:type="dxa"/>
            <w:shd w:val="clear" w:color="auto" w:fill="auto"/>
            <w:noWrap/>
            <w:vAlign w:val="center"/>
            <w:hideMark/>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34B31">
              <w:rPr>
                <w:color w:val="000000"/>
                <w:szCs w:val="20"/>
                <w:lang w:val="en-GB" w:eastAsia="es-ES"/>
              </w:rPr>
              <w:t>81.19%</w:t>
            </w:r>
          </w:p>
        </w:tc>
        <w:tc>
          <w:tcPr>
            <w:tcW w:w="1276" w:type="dxa"/>
            <w:shd w:val="clear" w:color="auto" w:fill="auto"/>
            <w:noWrap/>
            <w:vAlign w:val="center"/>
            <w:hideMark/>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34B31">
              <w:rPr>
                <w:color w:val="000000"/>
                <w:szCs w:val="20"/>
                <w:lang w:val="en-GB" w:eastAsia="es-ES"/>
              </w:rPr>
              <w:t>66.83%</w:t>
            </w:r>
          </w:p>
        </w:tc>
        <w:tc>
          <w:tcPr>
            <w:tcW w:w="1251" w:type="dxa"/>
            <w:shd w:val="clear" w:color="auto" w:fill="auto"/>
            <w:noWrap/>
            <w:vAlign w:val="center"/>
            <w:hideMark/>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34B31">
              <w:rPr>
                <w:color w:val="000000"/>
                <w:szCs w:val="20"/>
                <w:lang w:val="en-GB" w:eastAsia="es-ES"/>
              </w:rPr>
              <w:t>44.06%</w:t>
            </w:r>
          </w:p>
        </w:tc>
      </w:tr>
      <w:tr w:rsidR="00AE36E9" w:rsidRPr="00D34B31" w:rsidTr="00AE36E9">
        <w:trPr>
          <w:trHeight w:val="33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vAlign w:val="center"/>
            <w:hideMark/>
          </w:tcPr>
          <w:p w:rsidR="00AE36E9" w:rsidRPr="00D34B31" w:rsidRDefault="00AE36E9" w:rsidP="000527A1">
            <w:pPr>
              <w:spacing w:before="40" w:after="40"/>
              <w:rPr>
                <w:b w:val="0"/>
                <w:color w:val="000000"/>
                <w:szCs w:val="20"/>
                <w:lang w:val="en-GB" w:eastAsia="es-ES"/>
              </w:rPr>
            </w:pPr>
            <w:r w:rsidRPr="00D34B31">
              <w:rPr>
                <w:b w:val="0"/>
                <w:color w:val="000000"/>
                <w:szCs w:val="20"/>
                <w:lang w:val="en-GB" w:eastAsia="es-ES"/>
              </w:rPr>
              <w:t>30-45</w:t>
            </w:r>
          </w:p>
        </w:tc>
        <w:tc>
          <w:tcPr>
            <w:tcW w:w="1134" w:type="dxa"/>
            <w:shd w:val="clear" w:color="auto" w:fill="auto"/>
          </w:tcPr>
          <w:p w:rsidR="00AE36E9" w:rsidRPr="00D34B31" w:rsidRDefault="00AE36E9" w:rsidP="000527A1">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eastAsia="es-ES"/>
              </w:rPr>
            </w:pPr>
            <w:r>
              <w:rPr>
                <w:color w:val="000000"/>
                <w:szCs w:val="20"/>
                <w:lang w:eastAsia="es-ES"/>
              </w:rPr>
              <w:t>33.22%</w:t>
            </w:r>
          </w:p>
        </w:tc>
        <w:tc>
          <w:tcPr>
            <w:tcW w:w="1275" w:type="dxa"/>
            <w:shd w:val="clear" w:color="auto" w:fill="auto"/>
            <w:noWrap/>
            <w:vAlign w:val="center"/>
            <w:hideMark/>
          </w:tcPr>
          <w:p w:rsidR="00AE36E9" w:rsidRPr="00D34B31" w:rsidRDefault="00AE36E9" w:rsidP="000527A1">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34B31">
              <w:rPr>
                <w:color w:val="000000"/>
                <w:szCs w:val="20"/>
                <w:lang w:val="en-GB" w:eastAsia="es-ES"/>
              </w:rPr>
              <w:t>94.00%</w:t>
            </w:r>
          </w:p>
        </w:tc>
        <w:tc>
          <w:tcPr>
            <w:tcW w:w="1276" w:type="dxa"/>
            <w:shd w:val="clear" w:color="auto" w:fill="auto"/>
            <w:noWrap/>
            <w:vAlign w:val="center"/>
            <w:hideMark/>
          </w:tcPr>
          <w:p w:rsidR="00AE36E9" w:rsidRPr="00D34B31" w:rsidRDefault="00AE36E9" w:rsidP="000527A1">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34B31">
              <w:rPr>
                <w:color w:val="000000"/>
                <w:szCs w:val="20"/>
                <w:lang w:val="en-GB" w:eastAsia="es-ES"/>
              </w:rPr>
              <w:t>89.50%</w:t>
            </w:r>
          </w:p>
        </w:tc>
        <w:tc>
          <w:tcPr>
            <w:tcW w:w="1276" w:type="dxa"/>
            <w:shd w:val="clear" w:color="auto" w:fill="auto"/>
            <w:noWrap/>
            <w:vAlign w:val="center"/>
            <w:hideMark/>
          </w:tcPr>
          <w:p w:rsidR="00AE36E9" w:rsidRPr="00D34B31" w:rsidRDefault="00AE36E9" w:rsidP="000527A1">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34B31">
              <w:rPr>
                <w:color w:val="000000"/>
                <w:szCs w:val="20"/>
                <w:lang w:val="en-GB" w:eastAsia="es-ES"/>
              </w:rPr>
              <w:t>54.50%</w:t>
            </w:r>
          </w:p>
        </w:tc>
        <w:tc>
          <w:tcPr>
            <w:tcW w:w="1276" w:type="dxa"/>
            <w:shd w:val="clear" w:color="auto" w:fill="auto"/>
            <w:noWrap/>
            <w:vAlign w:val="center"/>
            <w:hideMark/>
          </w:tcPr>
          <w:p w:rsidR="00AE36E9" w:rsidRPr="00D34B31" w:rsidRDefault="00AE36E9" w:rsidP="000527A1">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34B31">
              <w:rPr>
                <w:color w:val="000000"/>
                <w:szCs w:val="20"/>
                <w:lang w:val="en-GB" w:eastAsia="es-ES"/>
              </w:rPr>
              <w:t>46.50%</w:t>
            </w:r>
          </w:p>
        </w:tc>
        <w:tc>
          <w:tcPr>
            <w:tcW w:w="1251" w:type="dxa"/>
            <w:shd w:val="clear" w:color="auto" w:fill="auto"/>
            <w:noWrap/>
            <w:vAlign w:val="center"/>
            <w:hideMark/>
          </w:tcPr>
          <w:p w:rsidR="00AE36E9" w:rsidRPr="00D34B31" w:rsidRDefault="00AE36E9" w:rsidP="000527A1">
            <w:pPr>
              <w:spacing w:before="40" w:after="40"/>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D34B31">
              <w:rPr>
                <w:color w:val="000000"/>
                <w:szCs w:val="20"/>
                <w:lang w:val="en-GB" w:eastAsia="es-ES"/>
              </w:rPr>
              <w:t>38.00%</w:t>
            </w:r>
          </w:p>
        </w:tc>
      </w:tr>
      <w:tr w:rsidR="00AE36E9" w:rsidRPr="00D34B31" w:rsidTr="00AE36E9">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vAlign w:val="center"/>
            <w:hideMark/>
          </w:tcPr>
          <w:p w:rsidR="00AE36E9" w:rsidRPr="00D34B31" w:rsidRDefault="00AE36E9" w:rsidP="000527A1">
            <w:pPr>
              <w:spacing w:before="40" w:after="40"/>
              <w:rPr>
                <w:b w:val="0"/>
                <w:color w:val="000000"/>
                <w:szCs w:val="20"/>
                <w:lang w:val="en-GB" w:eastAsia="es-ES"/>
              </w:rPr>
            </w:pPr>
            <w:r w:rsidRPr="00D34B31">
              <w:rPr>
                <w:b w:val="0"/>
                <w:color w:val="000000"/>
                <w:szCs w:val="20"/>
                <w:lang w:val="en-GB" w:eastAsia="es-ES"/>
              </w:rPr>
              <w:t>46-55</w:t>
            </w:r>
          </w:p>
        </w:tc>
        <w:tc>
          <w:tcPr>
            <w:tcW w:w="1134" w:type="dxa"/>
            <w:shd w:val="clear" w:color="auto" w:fill="auto"/>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33.22%</w:t>
            </w:r>
          </w:p>
        </w:tc>
        <w:tc>
          <w:tcPr>
            <w:tcW w:w="1275" w:type="dxa"/>
            <w:shd w:val="clear" w:color="auto" w:fill="auto"/>
            <w:noWrap/>
            <w:vAlign w:val="center"/>
            <w:hideMark/>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34B31">
              <w:rPr>
                <w:color w:val="000000"/>
                <w:szCs w:val="20"/>
                <w:lang w:val="en-GB" w:eastAsia="es-ES"/>
              </w:rPr>
              <w:t>93.50%</w:t>
            </w:r>
          </w:p>
        </w:tc>
        <w:tc>
          <w:tcPr>
            <w:tcW w:w="1276" w:type="dxa"/>
            <w:shd w:val="clear" w:color="auto" w:fill="auto"/>
            <w:noWrap/>
            <w:vAlign w:val="center"/>
            <w:hideMark/>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34B31">
              <w:rPr>
                <w:color w:val="000000"/>
                <w:szCs w:val="20"/>
                <w:lang w:val="en-GB" w:eastAsia="es-ES"/>
              </w:rPr>
              <w:t>88.50%</w:t>
            </w:r>
          </w:p>
        </w:tc>
        <w:tc>
          <w:tcPr>
            <w:tcW w:w="1276" w:type="dxa"/>
            <w:shd w:val="clear" w:color="auto" w:fill="auto"/>
            <w:noWrap/>
            <w:vAlign w:val="center"/>
            <w:hideMark/>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34B31">
              <w:rPr>
                <w:color w:val="000000"/>
                <w:szCs w:val="20"/>
                <w:lang w:val="en-GB" w:eastAsia="es-ES"/>
              </w:rPr>
              <w:t>54.50%</w:t>
            </w:r>
          </w:p>
        </w:tc>
        <w:tc>
          <w:tcPr>
            <w:tcW w:w="1276" w:type="dxa"/>
            <w:shd w:val="clear" w:color="auto" w:fill="auto"/>
            <w:noWrap/>
            <w:vAlign w:val="center"/>
            <w:hideMark/>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34B31">
              <w:rPr>
                <w:color w:val="000000"/>
                <w:szCs w:val="20"/>
                <w:lang w:val="en-GB" w:eastAsia="es-ES"/>
              </w:rPr>
              <w:t>47.00%</w:t>
            </w:r>
          </w:p>
        </w:tc>
        <w:tc>
          <w:tcPr>
            <w:tcW w:w="1251" w:type="dxa"/>
            <w:shd w:val="clear" w:color="auto" w:fill="auto"/>
            <w:noWrap/>
            <w:vAlign w:val="center"/>
            <w:hideMark/>
          </w:tcPr>
          <w:p w:rsidR="00AE36E9" w:rsidRPr="00D34B31" w:rsidRDefault="00AE36E9" w:rsidP="000527A1">
            <w:pPr>
              <w:spacing w:before="40" w:after="4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D34B31">
              <w:rPr>
                <w:color w:val="000000"/>
                <w:szCs w:val="20"/>
                <w:lang w:val="en-GB" w:eastAsia="es-ES"/>
              </w:rPr>
              <w:t>19.00%</w:t>
            </w:r>
          </w:p>
        </w:tc>
      </w:tr>
    </w:tbl>
    <w:p w:rsidR="00F0097A" w:rsidRDefault="008B15A6" w:rsidP="008B15A6">
      <w:pPr>
        <w:pStyle w:val="Text"/>
        <w:jc w:val="center"/>
        <w:rPr>
          <w:sz w:val="20"/>
          <w:szCs w:val="20"/>
        </w:rPr>
      </w:pPr>
      <w:r w:rsidRPr="00D34B31">
        <w:rPr>
          <w:sz w:val="18"/>
          <w:szCs w:val="18"/>
        </w:rPr>
        <w:t xml:space="preserve">Table </w:t>
      </w:r>
      <w:r>
        <w:rPr>
          <w:sz w:val="18"/>
          <w:szCs w:val="18"/>
        </w:rPr>
        <w:t>2</w:t>
      </w:r>
      <w:r w:rsidRPr="00D34B31">
        <w:rPr>
          <w:sz w:val="18"/>
          <w:szCs w:val="18"/>
        </w:rPr>
        <w:t>. Classification of the mobility behaviour of respondents by age</w:t>
      </w:r>
    </w:p>
    <w:p w:rsidR="00DA0A01" w:rsidRDefault="00292029" w:rsidP="00F0097A">
      <w:pPr>
        <w:pStyle w:val="Text"/>
      </w:pPr>
      <w:r>
        <w:t xml:space="preserve">Between genders, as shown in Table </w:t>
      </w:r>
      <w:r w:rsidR="00A303E1">
        <w:t>3</w:t>
      </w:r>
      <w:r>
        <w:t>, the major difference was with the use of public transport, since women used the public transport on a daily basis up to 17% more than men (72% versus 54.97%).</w:t>
      </w:r>
      <w:r w:rsidR="00661454">
        <w:t xml:space="preserve"> </w:t>
      </w:r>
      <w:r w:rsidR="00D858BB" w:rsidRPr="00DF1A62">
        <w:t xml:space="preserve">According to </w:t>
      </w:r>
      <w:r w:rsidR="00A303E1">
        <w:t>Figure</w:t>
      </w:r>
      <w:r w:rsidR="00A303E1" w:rsidRPr="00DF1A62">
        <w:t xml:space="preserve"> </w:t>
      </w:r>
      <w:r w:rsidR="00A303E1">
        <w:t>1</w:t>
      </w:r>
      <w:r w:rsidR="00D858BB">
        <w:t xml:space="preserve">, </w:t>
      </w:r>
      <w:r w:rsidR="00CD11B7">
        <w:t xml:space="preserve">the difference regarding the use of public transportation by gender is greater when commuting is out of the city. Although both genders had a much more extensive use of the public transport </w:t>
      </w:r>
      <w:r w:rsidR="00D9697A">
        <w:t>for moving</w:t>
      </w:r>
      <w:r w:rsidR="00D4606E">
        <w:t xml:space="preserve"> within the city, females</w:t>
      </w:r>
      <w:r w:rsidR="00D9697A">
        <w:t xml:space="preserve">, unlike </w:t>
      </w:r>
      <w:r w:rsidR="00D9697A">
        <w:lastRenderedPageBreak/>
        <w:t xml:space="preserve">males, </w:t>
      </w:r>
      <w:r w:rsidR="00136599">
        <w:t xml:space="preserve">almost </w:t>
      </w:r>
      <w:r w:rsidR="00D4606E">
        <w:t>kept this level of use for</w:t>
      </w:r>
      <w:r w:rsidR="00D9697A">
        <w:t xml:space="preserve"> travelling to the RMB</w:t>
      </w:r>
      <w:r w:rsidR="00214DBA">
        <w:t xml:space="preserve"> (73.08% vs 47.96%)</w:t>
      </w:r>
      <w:r w:rsidR="009B1B8B">
        <w:t xml:space="preserve">. </w:t>
      </w:r>
    </w:p>
    <w:tbl>
      <w:tblPr>
        <w:tblStyle w:val="Sombreadoclaro"/>
        <w:tblW w:w="8529" w:type="dxa"/>
        <w:tblLook w:val="04A0" w:firstRow="1" w:lastRow="0" w:firstColumn="1" w:lastColumn="0" w:noHBand="0" w:noVBand="1"/>
      </w:tblPr>
      <w:tblGrid>
        <w:gridCol w:w="1101"/>
        <w:gridCol w:w="1134"/>
        <w:gridCol w:w="1275"/>
        <w:gridCol w:w="1276"/>
        <w:gridCol w:w="1276"/>
        <w:gridCol w:w="1231"/>
        <w:gridCol w:w="1236"/>
      </w:tblGrid>
      <w:tr w:rsidR="00530FCA" w:rsidRPr="00D34B31" w:rsidTr="00530FCA">
        <w:trPr>
          <w:cnfStyle w:val="100000000000" w:firstRow="1" w:lastRow="0" w:firstColumn="0" w:lastColumn="0" w:oddVBand="0" w:evenVBand="0" w:oddHBand="0"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vAlign w:val="center"/>
            <w:hideMark/>
          </w:tcPr>
          <w:p w:rsidR="00530FCA" w:rsidRPr="002C0B7B" w:rsidRDefault="00530FCA" w:rsidP="00530FCA">
            <w:pPr>
              <w:ind w:left="-142" w:firstLine="142"/>
              <w:rPr>
                <w:b w:val="0"/>
                <w:color w:val="000000"/>
                <w:szCs w:val="20"/>
                <w:lang w:val="en-GB" w:eastAsia="es-ES"/>
              </w:rPr>
            </w:pPr>
            <w:r w:rsidRPr="002C0B7B">
              <w:rPr>
                <w:b w:val="0"/>
                <w:color w:val="000000"/>
                <w:szCs w:val="20"/>
                <w:lang w:val="en-GB" w:eastAsia="es-ES"/>
              </w:rPr>
              <w:t>Gender</w:t>
            </w:r>
          </w:p>
        </w:tc>
        <w:tc>
          <w:tcPr>
            <w:tcW w:w="1134" w:type="dxa"/>
            <w:shd w:val="clear" w:color="auto" w:fill="auto"/>
            <w:vAlign w:val="center"/>
          </w:tcPr>
          <w:p w:rsidR="00530FCA" w:rsidRPr="002C0B7B" w:rsidRDefault="00530FCA" w:rsidP="00530FCA">
            <w:pPr>
              <w:cnfStyle w:val="100000000000" w:firstRow="1" w:lastRow="0" w:firstColumn="0" w:lastColumn="0" w:oddVBand="0" w:evenVBand="0" w:oddHBand="0" w:evenHBand="0" w:firstRowFirstColumn="0" w:firstRowLastColumn="0" w:lastRowFirstColumn="0" w:lastRowLastColumn="0"/>
              <w:rPr>
                <w:b w:val="0"/>
                <w:color w:val="000000"/>
                <w:szCs w:val="20"/>
                <w:lang w:eastAsia="es-ES"/>
              </w:rPr>
            </w:pPr>
            <w:r>
              <w:rPr>
                <w:b w:val="0"/>
                <w:color w:val="000000"/>
                <w:szCs w:val="20"/>
                <w:lang w:eastAsia="es-ES"/>
              </w:rPr>
              <w:t>n</w:t>
            </w:r>
          </w:p>
        </w:tc>
        <w:tc>
          <w:tcPr>
            <w:tcW w:w="1275" w:type="dxa"/>
            <w:shd w:val="clear" w:color="auto" w:fill="auto"/>
            <w:vAlign w:val="center"/>
            <w:hideMark/>
          </w:tcPr>
          <w:p w:rsidR="00530FCA" w:rsidRPr="002C0B7B" w:rsidRDefault="00530FCA" w:rsidP="00530FCA">
            <w:pPr>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2C0B7B">
              <w:rPr>
                <w:b w:val="0"/>
                <w:color w:val="000000"/>
                <w:szCs w:val="20"/>
                <w:lang w:val="en-GB" w:eastAsia="es-ES"/>
              </w:rPr>
              <w:t>Have a driving license</w:t>
            </w:r>
          </w:p>
        </w:tc>
        <w:tc>
          <w:tcPr>
            <w:tcW w:w="1276" w:type="dxa"/>
            <w:shd w:val="clear" w:color="auto" w:fill="auto"/>
            <w:vAlign w:val="center"/>
            <w:hideMark/>
          </w:tcPr>
          <w:p w:rsidR="00530FCA" w:rsidRPr="00D34B31" w:rsidRDefault="00530FCA" w:rsidP="00530FCA">
            <w:pPr>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34B31">
              <w:rPr>
                <w:b w:val="0"/>
                <w:color w:val="000000"/>
                <w:szCs w:val="20"/>
                <w:lang w:val="en-GB" w:eastAsia="es-ES"/>
              </w:rPr>
              <w:t xml:space="preserve">Access or owners of </w:t>
            </w:r>
          </w:p>
          <w:p w:rsidR="00530FCA" w:rsidRPr="002C0B7B" w:rsidRDefault="00530FCA" w:rsidP="00530FCA">
            <w:pPr>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2C0B7B">
              <w:rPr>
                <w:b w:val="0"/>
                <w:color w:val="000000"/>
                <w:szCs w:val="20"/>
                <w:lang w:val="en-GB" w:eastAsia="es-ES"/>
              </w:rPr>
              <w:t>a car</w:t>
            </w:r>
          </w:p>
        </w:tc>
        <w:tc>
          <w:tcPr>
            <w:tcW w:w="1276" w:type="dxa"/>
            <w:shd w:val="clear" w:color="auto" w:fill="auto"/>
            <w:vAlign w:val="center"/>
            <w:hideMark/>
          </w:tcPr>
          <w:p w:rsidR="00530FCA" w:rsidRPr="002C0B7B" w:rsidRDefault="00530FCA" w:rsidP="00530FCA">
            <w:pPr>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D34B31">
              <w:rPr>
                <w:b w:val="0"/>
                <w:color w:val="000000"/>
                <w:szCs w:val="20"/>
                <w:lang w:val="en-GB" w:eastAsia="es-ES"/>
              </w:rPr>
              <w:t>Daily users of p</w:t>
            </w:r>
            <w:r w:rsidRPr="002C0B7B">
              <w:rPr>
                <w:b w:val="0"/>
                <w:color w:val="000000"/>
                <w:szCs w:val="20"/>
                <w:lang w:val="en-GB" w:eastAsia="es-ES"/>
              </w:rPr>
              <w:t xml:space="preserve">ublic </w:t>
            </w:r>
            <w:r w:rsidRPr="00D34B31">
              <w:rPr>
                <w:b w:val="0"/>
                <w:color w:val="000000"/>
                <w:szCs w:val="20"/>
                <w:lang w:val="en-GB" w:eastAsia="es-ES"/>
              </w:rPr>
              <w:t>t</w:t>
            </w:r>
            <w:r w:rsidRPr="002C0B7B">
              <w:rPr>
                <w:b w:val="0"/>
                <w:color w:val="000000"/>
                <w:szCs w:val="20"/>
                <w:lang w:val="en-GB" w:eastAsia="es-ES"/>
              </w:rPr>
              <w:t>ransport</w:t>
            </w:r>
          </w:p>
        </w:tc>
        <w:tc>
          <w:tcPr>
            <w:tcW w:w="1231" w:type="dxa"/>
            <w:shd w:val="clear" w:color="auto" w:fill="auto"/>
            <w:vAlign w:val="center"/>
            <w:hideMark/>
          </w:tcPr>
          <w:p w:rsidR="00530FCA" w:rsidRPr="002C0B7B" w:rsidRDefault="00530FCA" w:rsidP="00530FCA">
            <w:pPr>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2C0B7B">
              <w:rPr>
                <w:b w:val="0"/>
                <w:color w:val="000000"/>
                <w:szCs w:val="20"/>
                <w:lang w:val="en-GB" w:eastAsia="es-ES"/>
              </w:rPr>
              <w:t>Daily multimodal users</w:t>
            </w:r>
          </w:p>
        </w:tc>
        <w:tc>
          <w:tcPr>
            <w:tcW w:w="1236" w:type="dxa"/>
            <w:shd w:val="clear" w:color="auto" w:fill="auto"/>
            <w:vAlign w:val="center"/>
            <w:hideMark/>
          </w:tcPr>
          <w:p w:rsidR="00530FCA" w:rsidRPr="002C0B7B" w:rsidRDefault="00530FCA" w:rsidP="00530FCA">
            <w:pPr>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2C0B7B">
              <w:rPr>
                <w:b w:val="0"/>
                <w:color w:val="000000"/>
                <w:szCs w:val="20"/>
                <w:lang w:val="en-GB" w:eastAsia="es-ES"/>
              </w:rPr>
              <w:t xml:space="preserve">Users of </w:t>
            </w:r>
            <w:r w:rsidRPr="00D34B31">
              <w:rPr>
                <w:b w:val="0"/>
                <w:color w:val="000000"/>
                <w:szCs w:val="20"/>
                <w:lang w:val="en-GB" w:eastAsia="es-ES"/>
              </w:rPr>
              <w:t>shared s</w:t>
            </w:r>
            <w:r w:rsidRPr="002C0B7B">
              <w:rPr>
                <w:b w:val="0"/>
                <w:color w:val="000000"/>
                <w:szCs w:val="20"/>
                <w:lang w:val="en-GB" w:eastAsia="es-ES"/>
              </w:rPr>
              <w:t>ervices</w:t>
            </w:r>
          </w:p>
        </w:tc>
      </w:tr>
      <w:tr w:rsidR="00530FCA" w:rsidRPr="00D34B31" w:rsidTr="00530FC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vAlign w:val="center"/>
            <w:hideMark/>
          </w:tcPr>
          <w:p w:rsidR="00530FCA" w:rsidRPr="002C0B7B" w:rsidRDefault="00530FCA" w:rsidP="00530FCA">
            <w:pPr>
              <w:rPr>
                <w:b w:val="0"/>
                <w:color w:val="000000"/>
                <w:szCs w:val="20"/>
                <w:lang w:val="en-GB" w:eastAsia="es-ES"/>
              </w:rPr>
            </w:pPr>
            <w:r w:rsidRPr="002C0B7B">
              <w:rPr>
                <w:b w:val="0"/>
                <w:color w:val="000000"/>
                <w:szCs w:val="20"/>
                <w:lang w:val="en-GB" w:eastAsia="es-ES"/>
              </w:rPr>
              <w:t>Male</w:t>
            </w:r>
          </w:p>
        </w:tc>
        <w:tc>
          <w:tcPr>
            <w:tcW w:w="1134" w:type="dxa"/>
            <w:shd w:val="clear" w:color="auto" w:fill="auto"/>
            <w:vAlign w:val="center"/>
          </w:tcPr>
          <w:p w:rsidR="00530FCA" w:rsidRPr="002C0B7B" w:rsidRDefault="00530FCA" w:rsidP="00530FCA">
            <w:pPr>
              <w:cnfStyle w:val="000000100000" w:firstRow="0" w:lastRow="0" w:firstColumn="0" w:lastColumn="0" w:oddVBand="0" w:evenVBand="0" w:oddHBand="1" w:evenHBand="0" w:firstRowFirstColumn="0" w:firstRowLastColumn="0" w:lastRowFirstColumn="0" w:lastRowLastColumn="0"/>
              <w:rPr>
                <w:color w:val="000000"/>
                <w:szCs w:val="20"/>
                <w:lang w:eastAsia="es-ES"/>
              </w:rPr>
            </w:pPr>
            <w:r>
              <w:rPr>
                <w:color w:val="000000"/>
                <w:szCs w:val="20"/>
                <w:lang w:eastAsia="es-ES"/>
              </w:rPr>
              <w:t>50.17%</w:t>
            </w:r>
          </w:p>
        </w:tc>
        <w:tc>
          <w:tcPr>
            <w:tcW w:w="1275" w:type="dxa"/>
            <w:shd w:val="clear" w:color="auto" w:fill="auto"/>
            <w:noWrap/>
            <w:vAlign w:val="center"/>
            <w:hideMark/>
          </w:tcPr>
          <w:p w:rsidR="00530FCA" w:rsidRPr="002C0B7B" w:rsidRDefault="00530FCA" w:rsidP="00530FCA">
            <w:pPr>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2C0B7B">
              <w:rPr>
                <w:color w:val="000000"/>
                <w:szCs w:val="20"/>
                <w:lang w:val="en-GB" w:eastAsia="es-ES"/>
              </w:rPr>
              <w:t>91.06%</w:t>
            </w:r>
          </w:p>
        </w:tc>
        <w:tc>
          <w:tcPr>
            <w:tcW w:w="1276" w:type="dxa"/>
            <w:shd w:val="clear" w:color="auto" w:fill="auto"/>
            <w:noWrap/>
            <w:vAlign w:val="center"/>
            <w:hideMark/>
          </w:tcPr>
          <w:p w:rsidR="00530FCA" w:rsidRPr="002C0B7B" w:rsidRDefault="00530FCA" w:rsidP="00530FCA">
            <w:pPr>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2C0B7B">
              <w:rPr>
                <w:color w:val="000000"/>
                <w:szCs w:val="20"/>
                <w:lang w:val="en-GB" w:eastAsia="es-ES"/>
              </w:rPr>
              <w:t>86.75%</w:t>
            </w:r>
          </w:p>
        </w:tc>
        <w:tc>
          <w:tcPr>
            <w:tcW w:w="1276" w:type="dxa"/>
            <w:shd w:val="clear" w:color="auto" w:fill="auto"/>
            <w:noWrap/>
            <w:vAlign w:val="center"/>
            <w:hideMark/>
          </w:tcPr>
          <w:p w:rsidR="00530FCA" w:rsidRPr="002C0B7B" w:rsidRDefault="00530FCA" w:rsidP="00530FCA">
            <w:pPr>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2C0B7B">
              <w:rPr>
                <w:color w:val="000000"/>
                <w:szCs w:val="20"/>
                <w:lang w:val="en-GB" w:eastAsia="es-ES"/>
              </w:rPr>
              <w:t>54.97%</w:t>
            </w:r>
          </w:p>
        </w:tc>
        <w:tc>
          <w:tcPr>
            <w:tcW w:w="1231" w:type="dxa"/>
            <w:shd w:val="clear" w:color="auto" w:fill="auto"/>
            <w:noWrap/>
            <w:vAlign w:val="center"/>
            <w:hideMark/>
          </w:tcPr>
          <w:p w:rsidR="00530FCA" w:rsidRPr="002C0B7B" w:rsidRDefault="00530FCA" w:rsidP="00530FCA">
            <w:pPr>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2C0B7B">
              <w:rPr>
                <w:color w:val="000000"/>
                <w:szCs w:val="20"/>
                <w:lang w:val="en-GB" w:eastAsia="es-ES"/>
              </w:rPr>
              <w:t>50.00%</w:t>
            </w:r>
          </w:p>
        </w:tc>
        <w:tc>
          <w:tcPr>
            <w:tcW w:w="1236" w:type="dxa"/>
            <w:shd w:val="clear" w:color="auto" w:fill="auto"/>
            <w:noWrap/>
            <w:vAlign w:val="center"/>
            <w:hideMark/>
          </w:tcPr>
          <w:p w:rsidR="00530FCA" w:rsidRPr="002C0B7B" w:rsidRDefault="00530FCA" w:rsidP="00530FCA">
            <w:pPr>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sidRPr="002C0B7B">
              <w:rPr>
                <w:color w:val="000000"/>
                <w:szCs w:val="20"/>
                <w:lang w:val="en-GB" w:eastAsia="es-ES"/>
              </w:rPr>
              <w:t>35.76%</w:t>
            </w:r>
          </w:p>
        </w:tc>
      </w:tr>
      <w:tr w:rsidR="00530FCA" w:rsidRPr="00D34B31" w:rsidTr="00530FCA">
        <w:trPr>
          <w:trHeight w:val="345"/>
        </w:trPr>
        <w:tc>
          <w:tcPr>
            <w:cnfStyle w:val="001000000000" w:firstRow="0" w:lastRow="0" w:firstColumn="1" w:lastColumn="0" w:oddVBand="0" w:evenVBand="0" w:oddHBand="0" w:evenHBand="0" w:firstRowFirstColumn="0" w:firstRowLastColumn="0" w:lastRowFirstColumn="0" w:lastRowLastColumn="0"/>
            <w:tcW w:w="1101" w:type="dxa"/>
            <w:shd w:val="clear" w:color="auto" w:fill="auto"/>
            <w:noWrap/>
            <w:vAlign w:val="center"/>
            <w:hideMark/>
          </w:tcPr>
          <w:p w:rsidR="00530FCA" w:rsidRPr="002C0B7B" w:rsidRDefault="00530FCA" w:rsidP="00530FCA">
            <w:pPr>
              <w:rPr>
                <w:b w:val="0"/>
                <w:color w:val="000000"/>
                <w:szCs w:val="20"/>
                <w:lang w:val="en-GB" w:eastAsia="es-ES"/>
              </w:rPr>
            </w:pPr>
            <w:r w:rsidRPr="002C0B7B">
              <w:rPr>
                <w:b w:val="0"/>
                <w:color w:val="000000"/>
                <w:szCs w:val="20"/>
                <w:lang w:val="en-GB" w:eastAsia="es-ES"/>
              </w:rPr>
              <w:t>Female</w:t>
            </w:r>
          </w:p>
        </w:tc>
        <w:tc>
          <w:tcPr>
            <w:tcW w:w="1134" w:type="dxa"/>
            <w:shd w:val="clear" w:color="auto" w:fill="auto"/>
            <w:vAlign w:val="center"/>
          </w:tcPr>
          <w:p w:rsidR="00530FCA" w:rsidRPr="002C0B7B" w:rsidRDefault="00530FCA" w:rsidP="00530FCA">
            <w:pPr>
              <w:cnfStyle w:val="000000000000" w:firstRow="0" w:lastRow="0" w:firstColumn="0" w:lastColumn="0" w:oddVBand="0" w:evenVBand="0" w:oddHBand="0" w:evenHBand="0" w:firstRowFirstColumn="0" w:firstRowLastColumn="0" w:lastRowFirstColumn="0" w:lastRowLastColumn="0"/>
              <w:rPr>
                <w:color w:val="000000"/>
                <w:szCs w:val="20"/>
                <w:lang w:eastAsia="es-ES"/>
              </w:rPr>
            </w:pPr>
            <w:r>
              <w:rPr>
                <w:color w:val="000000"/>
                <w:szCs w:val="20"/>
                <w:lang w:eastAsia="es-ES"/>
              </w:rPr>
              <w:t>49.83%</w:t>
            </w:r>
          </w:p>
        </w:tc>
        <w:tc>
          <w:tcPr>
            <w:tcW w:w="1275" w:type="dxa"/>
            <w:shd w:val="clear" w:color="auto" w:fill="auto"/>
            <w:noWrap/>
            <w:vAlign w:val="center"/>
            <w:hideMark/>
          </w:tcPr>
          <w:p w:rsidR="00530FCA" w:rsidRPr="002C0B7B" w:rsidRDefault="00530FCA" w:rsidP="00530FCA">
            <w:pPr>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2C0B7B">
              <w:rPr>
                <w:color w:val="000000"/>
                <w:szCs w:val="20"/>
                <w:lang w:val="en-GB" w:eastAsia="es-ES"/>
              </w:rPr>
              <w:t>82.67%</w:t>
            </w:r>
          </w:p>
        </w:tc>
        <w:tc>
          <w:tcPr>
            <w:tcW w:w="1276" w:type="dxa"/>
            <w:shd w:val="clear" w:color="auto" w:fill="auto"/>
            <w:noWrap/>
            <w:vAlign w:val="center"/>
            <w:hideMark/>
          </w:tcPr>
          <w:p w:rsidR="00530FCA" w:rsidRPr="002C0B7B" w:rsidRDefault="00530FCA" w:rsidP="00530FCA">
            <w:pPr>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2C0B7B">
              <w:rPr>
                <w:color w:val="000000"/>
                <w:szCs w:val="20"/>
                <w:lang w:val="en-GB" w:eastAsia="es-ES"/>
              </w:rPr>
              <w:t>78.67%</w:t>
            </w:r>
          </w:p>
        </w:tc>
        <w:tc>
          <w:tcPr>
            <w:tcW w:w="1276" w:type="dxa"/>
            <w:shd w:val="clear" w:color="auto" w:fill="auto"/>
            <w:noWrap/>
            <w:vAlign w:val="center"/>
            <w:hideMark/>
          </w:tcPr>
          <w:p w:rsidR="00530FCA" w:rsidRPr="002C0B7B" w:rsidRDefault="00530FCA" w:rsidP="00530FCA">
            <w:pPr>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2C0B7B">
              <w:rPr>
                <w:color w:val="000000"/>
                <w:szCs w:val="20"/>
                <w:lang w:val="en-GB" w:eastAsia="es-ES"/>
              </w:rPr>
              <w:t>72.00%</w:t>
            </w:r>
          </w:p>
        </w:tc>
        <w:tc>
          <w:tcPr>
            <w:tcW w:w="1231" w:type="dxa"/>
            <w:shd w:val="clear" w:color="auto" w:fill="auto"/>
            <w:noWrap/>
            <w:vAlign w:val="center"/>
            <w:hideMark/>
          </w:tcPr>
          <w:p w:rsidR="00530FCA" w:rsidRPr="002C0B7B" w:rsidRDefault="00530FCA" w:rsidP="00530FCA">
            <w:pPr>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2C0B7B">
              <w:rPr>
                <w:color w:val="000000"/>
                <w:szCs w:val="20"/>
                <w:lang w:val="en-GB" w:eastAsia="es-ES"/>
              </w:rPr>
              <w:t>57.00%</w:t>
            </w:r>
          </w:p>
        </w:tc>
        <w:tc>
          <w:tcPr>
            <w:tcW w:w="1236" w:type="dxa"/>
            <w:shd w:val="clear" w:color="auto" w:fill="auto"/>
            <w:noWrap/>
            <w:vAlign w:val="center"/>
            <w:hideMark/>
          </w:tcPr>
          <w:p w:rsidR="00530FCA" w:rsidRPr="002C0B7B" w:rsidRDefault="00530FCA" w:rsidP="00530FCA">
            <w:pPr>
              <w:cnfStyle w:val="000000000000" w:firstRow="0" w:lastRow="0" w:firstColumn="0" w:lastColumn="0" w:oddVBand="0" w:evenVBand="0" w:oddHBand="0" w:evenHBand="0" w:firstRowFirstColumn="0" w:firstRowLastColumn="0" w:lastRowFirstColumn="0" w:lastRowLastColumn="0"/>
              <w:rPr>
                <w:color w:val="000000"/>
                <w:szCs w:val="20"/>
                <w:lang w:val="en-GB" w:eastAsia="es-ES"/>
              </w:rPr>
            </w:pPr>
            <w:r w:rsidRPr="002C0B7B">
              <w:rPr>
                <w:color w:val="000000"/>
                <w:szCs w:val="20"/>
                <w:lang w:val="en-GB" w:eastAsia="es-ES"/>
              </w:rPr>
              <w:t>31.67%</w:t>
            </w:r>
          </w:p>
        </w:tc>
      </w:tr>
    </w:tbl>
    <w:p w:rsidR="005E2B33" w:rsidRDefault="00D55ED7" w:rsidP="008B15A6">
      <w:pPr>
        <w:pStyle w:val="Text"/>
        <w:jc w:val="center"/>
      </w:pPr>
      <w:r w:rsidRPr="00D34B31">
        <w:rPr>
          <w:sz w:val="18"/>
          <w:szCs w:val="18"/>
        </w:rPr>
        <w:t xml:space="preserve">Table </w:t>
      </w:r>
      <w:r>
        <w:rPr>
          <w:sz w:val="18"/>
          <w:szCs w:val="18"/>
        </w:rPr>
        <w:t>3</w:t>
      </w:r>
      <w:r w:rsidRPr="00D34B31">
        <w:rPr>
          <w:sz w:val="18"/>
          <w:szCs w:val="18"/>
        </w:rPr>
        <w:t xml:space="preserve">. Classification of the mobility behaviour of respondents by </w:t>
      </w:r>
      <w:r>
        <w:rPr>
          <w:sz w:val="18"/>
          <w:szCs w:val="18"/>
        </w:rPr>
        <w:t>gender</w:t>
      </w:r>
    </w:p>
    <w:p w:rsidR="00804C17" w:rsidRDefault="00804C17" w:rsidP="009569CC">
      <w:pPr>
        <w:pStyle w:val="Text"/>
      </w:pPr>
      <w:r w:rsidRPr="006B56A1">
        <w:t xml:space="preserve">In relation to the public transport, as shown in </w:t>
      </w:r>
      <w:r>
        <w:t>Figure 1</w:t>
      </w:r>
      <w:r w:rsidRPr="006B56A1">
        <w:t xml:space="preserve">, </w:t>
      </w:r>
      <w:r>
        <w:t xml:space="preserve">it was considerably more used for the commuters within Barcelona (BCN-BCN) and its immediate than the ones leaving to any location of the metropolitan region (BCN-RMB) or commuters entering the city every day from the RMB (RMB-BCN). </w:t>
      </w:r>
    </w:p>
    <w:p w:rsidR="00C7008B" w:rsidRDefault="00C7008B" w:rsidP="00DA0A01">
      <w:pPr>
        <w:pStyle w:val="Text"/>
        <w:jc w:val="center"/>
      </w:pPr>
      <w:r>
        <w:rPr>
          <w:noProof/>
          <w:lang w:val="es-ES" w:eastAsia="es-ES"/>
        </w:rPr>
        <w:drawing>
          <wp:inline distT="0" distB="0" distL="0" distR="0">
            <wp:extent cx="5274000" cy="2849526"/>
            <wp:effectExtent l="0" t="0" r="22225" b="273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18"/>
          <w:szCs w:val="18"/>
        </w:rPr>
        <w:t xml:space="preserve">Figure </w:t>
      </w:r>
      <w:r w:rsidR="00804C17">
        <w:rPr>
          <w:sz w:val="18"/>
          <w:szCs w:val="18"/>
        </w:rPr>
        <w:t>1</w:t>
      </w:r>
      <w:r>
        <w:rPr>
          <w:sz w:val="18"/>
          <w:szCs w:val="18"/>
        </w:rPr>
        <w:t>. Use of public transport by gender</w:t>
      </w:r>
      <w:r w:rsidR="00A303E1">
        <w:rPr>
          <w:sz w:val="18"/>
          <w:szCs w:val="18"/>
        </w:rPr>
        <w:t xml:space="preserve"> and type of commuting</w:t>
      </w:r>
    </w:p>
    <w:p w:rsidR="005403DC" w:rsidRDefault="005403DC" w:rsidP="00BE221D">
      <w:pPr>
        <w:pStyle w:val="Text"/>
      </w:pPr>
      <w:r>
        <w:t>As shown in Figure 2, t</w:t>
      </w:r>
      <w:r w:rsidRPr="006B56A1">
        <w:t xml:space="preserve">he </w:t>
      </w:r>
      <w:r w:rsidR="00BE221D">
        <w:t>public transport</w:t>
      </w:r>
      <w:r w:rsidR="00BE221D" w:rsidRPr="006B56A1">
        <w:t xml:space="preserve"> </w:t>
      </w:r>
      <w:r w:rsidR="00482841" w:rsidRPr="006B56A1">
        <w:t xml:space="preserve">most frequently used </w:t>
      </w:r>
      <w:r w:rsidR="00482841">
        <w:t>wa</w:t>
      </w:r>
      <w:r w:rsidR="00482841" w:rsidRPr="006B56A1">
        <w:t>s the underground</w:t>
      </w:r>
      <w:r w:rsidR="00482841">
        <w:t>, both for the commuters within Barcelona and its immediate (62.89%) and the ones moving out and in (42.67% and 34.16% respectively). Besides, the citizens that didn’t leave the city everyday use</w:t>
      </w:r>
      <w:r>
        <w:t>d</w:t>
      </w:r>
      <w:r w:rsidR="00482841">
        <w:t xml:space="preserve"> significantly more the bus than the others (up to 21% more), whereas commuters moving into or out of the city tend to use more the train </w:t>
      </w:r>
      <w:r w:rsidR="00E46FE1">
        <w:t xml:space="preserve">- </w:t>
      </w:r>
      <w:r w:rsidR="00482841">
        <w:t>the two companies operating in Catalonia have been considered: RENFE and Ferrocarrils de la Generalitat de Catalunya (FGC)</w:t>
      </w:r>
      <w:r w:rsidR="00E46FE1">
        <w:t xml:space="preserve"> -</w:t>
      </w:r>
      <w:r w:rsidR="00482841">
        <w:t>. According to the interviewees, t</w:t>
      </w:r>
      <w:r w:rsidR="00482841" w:rsidRPr="00FE00FF">
        <w:t xml:space="preserve">he main reasons to use the public transport were the stop </w:t>
      </w:r>
      <w:r w:rsidR="00351E7B">
        <w:t>proximity of</w:t>
      </w:r>
      <w:r w:rsidR="00482841" w:rsidRPr="00FE00FF">
        <w:t xml:space="preserve"> the departure point or destination and</w:t>
      </w:r>
      <w:r w:rsidR="00BE221D">
        <w:t xml:space="preserve"> </w:t>
      </w:r>
      <w:r w:rsidR="00351E7B">
        <w:t>the avoidance of</w:t>
      </w:r>
      <w:r w:rsidR="00BE221D">
        <w:t xml:space="preserve"> commuter traffic. </w:t>
      </w:r>
      <w:r>
        <w:t>In addition, m</w:t>
      </w:r>
      <w:r w:rsidRPr="00C61C7E">
        <w:t xml:space="preserve">ore than a quarter of non-users of public transport (27.65%) didn’t </w:t>
      </w:r>
      <w:r w:rsidR="00351E7B">
        <w:t>take</w:t>
      </w:r>
      <w:r w:rsidR="00351E7B" w:rsidRPr="00C61C7E">
        <w:t xml:space="preserve"> </w:t>
      </w:r>
      <w:r w:rsidRPr="00C61C7E">
        <w:t xml:space="preserve">this service </w:t>
      </w:r>
      <w:r w:rsidRPr="00C61C7E">
        <w:lastRenderedPageBreak/>
        <w:t xml:space="preserve">because it didn’t </w:t>
      </w:r>
      <w:r w:rsidR="00351E7B">
        <w:t>reach</w:t>
      </w:r>
      <w:r w:rsidRPr="00C61C7E">
        <w:t xml:space="preserve"> their location or destination or </w:t>
      </w:r>
      <w:r w:rsidR="00351E7B">
        <w:t>it was</w:t>
      </w:r>
      <w:r w:rsidR="00351E7B" w:rsidRPr="00C61C7E">
        <w:t xml:space="preserve"> </w:t>
      </w:r>
      <w:r w:rsidRPr="00C61C7E">
        <w:t xml:space="preserve">bad </w:t>
      </w:r>
      <w:r w:rsidR="00351E7B" w:rsidRPr="00C61C7E">
        <w:t>connec</w:t>
      </w:r>
      <w:r w:rsidR="00351E7B">
        <w:t>ted</w:t>
      </w:r>
      <w:r w:rsidRPr="00C61C7E">
        <w:t xml:space="preserve">; another quarter (24.88%) preferred to travel by car and the 11.06% by motorbike; the 14.74% stated that it was </w:t>
      </w:r>
      <w:r w:rsidR="00351E7B">
        <w:t>un</w:t>
      </w:r>
      <w:r w:rsidRPr="00C61C7E">
        <w:t xml:space="preserve">comfortable, slower, or they were required to make transfers and didn’t </w:t>
      </w:r>
      <w:r w:rsidR="00351E7B">
        <w:t>want to</w:t>
      </w:r>
      <w:r w:rsidRPr="00C61C7E">
        <w:t xml:space="preserve">; the 9.22% had their destination within a walking distance; the 4.61% preferred going by bicycle; another 4.61% had incompatible schedules; and the remaining 3.23% </w:t>
      </w:r>
      <w:r w:rsidR="009C0170">
        <w:t>pointed out</w:t>
      </w:r>
      <w:r w:rsidR="009C0170" w:rsidRPr="00C61C7E">
        <w:t xml:space="preserve"> </w:t>
      </w:r>
      <w:r w:rsidRPr="00C61C7E">
        <w:t>that the public transport stop was too far from their location or destination.</w:t>
      </w:r>
      <w:r w:rsidR="00BE221D">
        <w:t xml:space="preserve"> </w:t>
      </w:r>
      <w:r>
        <w:t xml:space="preserve">According to </w:t>
      </w:r>
      <w:r w:rsidR="00EA6095">
        <w:t xml:space="preserve"> </w:t>
      </w:r>
      <w:r>
        <w:t xml:space="preserve">Figure 2, over half of the commuters leaving and entering the city of Barcelona or its </w:t>
      </w:r>
      <w:r w:rsidRPr="00773F9B">
        <w:t>neighbouring municipalities</w:t>
      </w:r>
      <w:r>
        <w:t xml:space="preserve"> used the car on a daily basis (50.67% and 62.11% respectively), whereas commuters within the city used it with a rate of 28.52%. It is also noteworthy that the use of motorbikes and bicycles by commuters within the city is quite similar (15.12% versus 12.71%).</w:t>
      </w:r>
    </w:p>
    <w:p w:rsidR="00C27999" w:rsidRDefault="003F159F" w:rsidP="00DF195B">
      <w:pPr>
        <w:pStyle w:val="Text"/>
        <w:spacing w:after="0"/>
      </w:pPr>
      <w:r>
        <w:rPr>
          <w:noProof/>
          <w:lang w:val="es-ES" w:eastAsia="es-ES"/>
        </w:rPr>
        <w:drawing>
          <wp:inline distT="0" distB="0" distL="0" distR="0">
            <wp:extent cx="5274860" cy="2790967"/>
            <wp:effectExtent l="0" t="0" r="2159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2841" w:rsidRDefault="00482841" w:rsidP="00DF195B">
      <w:pPr>
        <w:pStyle w:val="Text"/>
        <w:spacing w:after="0"/>
        <w:jc w:val="center"/>
      </w:pPr>
      <w:r>
        <w:rPr>
          <w:sz w:val="18"/>
          <w:szCs w:val="18"/>
        </w:rPr>
        <w:t xml:space="preserve">Figure 2. </w:t>
      </w:r>
      <w:r w:rsidR="00FC310F">
        <w:rPr>
          <w:sz w:val="18"/>
          <w:szCs w:val="18"/>
        </w:rPr>
        <w:t>R</w:t>
      </w:r>
      <w:r w:rsidR="008C539E" w:rsidRPr="008C539E">
        <w:rPr>
          <w:sz w:val="18"/>
          <w:szCs w:val="18"/>
        </w:rPr>
        <w:t>esponses to “Which means of transport do you use to travel in a normal working day”</w:t>
      </w:r>
      <w:r w:rsidR="00FC310F">
        <w:rPr>
          <w:sz w:val="18"/>
          <w:szCs w:val="18"/>
        </w:rPr>
        <w:t xml:space="preserve"> classified by type of commuting</w:t>
      </w:r>
    </w:p>
    <w:p w:rsidR="00482841" w:rsidRDefault="00E46FE1" w:rsidP="00E46FE1">
      <w:pPr>
        <w:pStyle w:val="Text"/>
        <w:spacing w:before="240"/>
      </w:pPr>
      <w:r w:rsidRPr="00E46FE1">
        <w:t>Table</w:t>
      </w:r>
      <w:r>
        <w:t xml:space="preserve"> 4 </w:t>
      </w:r>
      <w:r w:rsidR="00A66D55">
        <w:t xml:space="preserve">classifies the surveyed citizens </w:t>
      </w:r>
      <w:r w:rsidR="00393A0B">
        <w:t xml:space="preserve">depending on their use of the public and private transport. From this table it can be seen that, overall, </w:t>
      </w:r>
      <w:r w:rsidR="00B84F8F">
        <w:t xml:space="preserve">more than </w:t>
      </w:r>
      <w:r w:rsidR="00393A0B">
        <w:t>20% of citizens need</w:t>
      </w:r>
      <w:r w:rsidR="00B84F8F">
        <w:t>ed</w:t>
      </w:r>
      <w:r w:rsidR="00393A0B">
        <w:t xml:space="preserve"> not only t</w:t>
      </w:r>
      <w:r w:rsidR="0028298C">
        <w:t>he</w:t>
      </w:r>
      <w:r w:rsidR="00393A0B">
        <w:t xml:space="preserve"> use</w:t>
      </w:r>
      <w:r w:rsidR="0028298C">
        <w:t xml:space="preserve"> of</w:t>
      </w:r>
      <w:r w:rsidR="00393A0B">
        <w:t xml:space="preserve"> their private vehicles but also the</w:t>
      </w:r>
      <w:r w:rsidR="0028298C">
        <w:t xml:space="preserve"> use of</w:t>
      </w:r>
      <w:r w:rsidR="00393A0B">
        <w:t xml:space="preserve"> public transport to </w:t>
      </w:r>
      <w:r w:rsidR="0028298C">
        <w:t>reach</w:t>
      </w:r>
      <w:r w:rsidR="00393A0B">
        <w:t xml:space="preserve"> their destinations.</w:t>
      </w:r>
      <w:r w:rsidR="00B84F8F">
        <w:t xml:space="preserve"> This is probably due to the fact that </w:t>
      </w:r>
      <w:r w:rsidR="00C979EF">
        <w:t>using</w:t>
      </w:r>
      <w:r w:rsidR="00B84F8F">
        <w:t xml:space="preserve"> </w:t>
      </w:r>
      <w:r w:rsidR="00C979EF">
        <w:t>the private vehicle</w:t>
      </w:r>
      <w:r w:rsidR="00B84F8F">
        <w:t xml:space="preserve"> </w:t>
      </w:r>
      <w:r w:rsidR="0028298C">
        <w:t xml:space="preserve">during </w:t>
      </w:r>
      <w:r w:rsidR="00B84F8F">
        <w:t xml:space="preserve">part of the trip was faster than </w:t>
      </w:r>
      <w:r w:rsidR="00C979EF">
        <w:t xml:space="preserve">only using </w:t>
      </w:r>
      <w:r w:rsidR="00797C9F">
        <w:t xml:space="preserve">the </w:t>
      </w:r>
      <w:r w:rsidR="00C979EF">
        <w:t>public transport, but using the private vehicle until the destination was more expensive in terms of money or time (e.g. need of parking).</w:t>
      </w:r>
    </w:p>
    <w:p w:rsidR="004E53BB" w:rsidRPr="00E46FE1" w:rsidRDefault="004E53BB" w:rsidP="00E46FE1">
      <w:pPr>
        <w:pStyle w:val="Text"/>
        <w:spacing w:before="240"/>
      </w:pPr>
    </w:p>
    <w:tbl>
      <w:tblPr>
        <w:tblStyle w:val="Sombreadoclaro"/>
        <w:tblW w:w="8128" w:type="dxa"/>
        <w:tblLook w:val="04A0" w:firstRow="1" w:lastRow="0" w:firstColumn="1" w:lastColumn="0" w:noHBand="0" w:noVBand="1"/>
      </w:tblPr>
      <w:tblGrid>
        <w:gridCol w:w="3652"/>
        <w:gridCol w:w="1534"/>
        <w:gridCol w:w="1540"/>
        <w:gridCol w:w="1402"/>
      </w:tblGrid>
      <w:tr w:rsidR="00482841" w:rsidRPr="00113957" w:rsidTr="00F06F24">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vAlign w:val="center"/>
            <w:hideMark/>
          </w:tcPr>
          <w:p w:rsidR="00482841" w:rsidRPr="00113957" w:rsidRDefault="00482841" w:rsidP="000A03F9">
            <w:pPr>
              <w:spacing w:before="40" w:after="40"/>
              <w:rPr>
                <w:b w:val="0"/>
                <w:color w:val="000000"/>
                <w:szCs w:val="20"/>
                <w:lang w:val="en-GB" w:eastAsia="es-ES"/>
              </w:rPr>
            </w:pPr>
            <w:r>
              <w:rPr>
                <w:b w:val="0"/>
                <w:color w:val="000000"/>
                <w:szCs w:val="20"/>
                <w:lang w:val="en-GB" w:eastAsia="es-ES"/>
              </w:rPr>
              <w:lastRenderedPageBreak/>
              <w:t>Daily transport</w:t>
            </w:r>
          </w:p>
        </w:tc>
        <w:tc>
          <w:tcPr>
            <w:tcW w:w="1534" w:type="dxa"/>
            <w:shd w:val="clear" w:color="auto" w:fill="auto"/>
            <w:noWrap/>
            <w:vAlign w:val="center"/>
            <w:hideMark/>
          </w:tcPr>
          <w:p w:rsidR="00482841" w:rsidRPr="00113957" w:rsidRDefault="00482841" w:rsidP="000A03F9">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113957">
              <w:rPr>
                <w:b w:val="0"/>
                <w:color w:val="000000"/>
                <w:szCs w:val="20"/>
                <w:lang w:val="en-GB" w:eastAsia="es-ES"/>
              </w:rPr>
              <w:t>BCN-BCN</w:t>
            </w:r>
          </w:p>
        </w:tc>
        <w:tc>
          <w:tcPr>
            <w:tcW w:w="1540" w:type="dxa"/>
            <w:shd w:val="clear" w:color="auto" w:fill="auto"/>
            <w:noWrap/>
            <w:vAlign w:val="center"/>
            <w:hideMark/>
          </w:tcPr>
          <w:p w:rsidR="00482841" w:rsidRPr="00113957" w:rsidRDefault="00482841" w:rsidP="000A03F9">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113957">
              <w:rPr>
                <w:b w:val="0"/>
                <w:color w:val="000000"/>
                <w:szCs w:val="20"/>
                <w:lang w:val="en-GB" w:eastAsia="es-ES"/>
              </w:rPr>
              <w:t>BCN-RMB</w:t>
            </w:r>
          </w:p>
        </w:tc>
        <w:tc>
          <w:tcPr>
            <w:tcW w:w="1402" w:type="dxa"/>
            <w:shd w:val="clear" w:color="auto" w:fill="auto"/>
            <w:noWrap/>
            <w:vAlign w:val="center"/>
            <w:hideMark/>
          </w:tcPr>
          <w:p w:rsidR="00482841" w:rsidRPr="00113957" w:rsidRDefault="00482841" w:rsidP="000A03F9">
            <w:pPr>
              <w:spacing w:before="40" w:after="40"/>
              <w:cnfStyle w:val="100000000000" w:firstRow="1" w:lastRow="0" w:firstColumn="0" w:lastColumn="0" w:oddVBand="0" w:evenVBand="0" w:oddHBand="0" w:evenHBand="0" w:firstRowFirstColumn="0" w:firstRowLastColumn="0" w:lastRowFirstColumn="0" w:lastRowLastColumn="0"/>
              <w:rPr>
                <w:b w:val="0"/>
                <w:color w:val="000000"/>
                <w:szCs w:val="20"/>
                <w:lang w:val="en-GB" w:eastAsia="es-ES"/>
              </w:rPr>
            </w:pPr>
            <w:r w:rsidRPr="00113957">
              <w:rPr>
                <w:b w:val="0"/>
                <w:color w:val="000000"/>
                <w:szCs w:val="20"/>
                <w:lang w:val="en-GB" w:eastAsia="es-ES"/>
              </w:rPr>
              <w:t>RMB-BCN</w:t>
            </w:r>
          </w:p>
        </w:tc>
      </w:tr>
      <w:tr w:rsidR="00482841" w:rsidRPr="00113957" w:rsidTr="00F06F2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652" w:type="dxa"/>
            <w:tcBorders>
              <w:bottom w:val="nil"/>
            </w:tcBorders>
            <w:shd w:val="clear" w:color="auto" w:fill="auto"/>
            <w:noWrap/>
            <w:vAlign w:val="center"/>
            <w:hideMark/>
          </w:tcPr>
          <w:p w:rsidR="00482841" w:rsidRPr="00113957" w:rsidRDefault="00482841" w:rsidP="00F06F24">
            <w:pPr>
              <w:spacing w:before="20" w:after="20"/>
              <w:rPr>
                <w:b w:val="0"/>
                <w:color w:val="000000"/>
                <w:szCs w:val="20"/>
                <w:lang w:val="en-GB" w:eastAsia="es-ES"/>
              </w:rPr>
            </w:pPr>
            <w:r>
              <w:rPr>
                <w:b w:val="0"/>
                <w:color w:val="000000"/>
                <w:szCs w:val="20"/>
                <w:lang w:val="en-GB" w:eastAsia="es-ES"/>
              </w:rPr>
              <w:t>Only users of public transport</w:t>
            </w:r>
          </w:p>
        </w:tc>
        <w:tc>
          <w:tcPr>
            <w:tcW w:w="1534" w:type="dxa"/>
            <w:tcBorders>
              <w:bottom w:val="nil"/>
            </w:tcBorders>
            <w:shd w:val="clear" w:color="auto" w:fill="auto"/>
            <w:noWrap/>
            <w:vAlign w:val="center"/>
            <w:hideMark/>
          </w:tcPr>
          <w:p w:rsidR="00482841" w:rsidRPr="00113957" w:rsidRDefault="00482841" w:rsidP="00F06F24">
            <w:pPr>
              <w:spacing w:before="20" w:after="2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Pr>
                <w:color w:val="000000"/>
                <w:szCs w:val="20"/>
                <w:lang w:val="en-GB" w:eastAsia="es-ES"/>
              </w:rPr>
              <w:t>47.77%</w:t>
            </w:r>
          </w:p>
        </w:tc>
        <w:tc>
          <w:tcPr>
            <w:tcW w:w="1540" w:type="dxa"/>
            <w:tcBorders>
              <w:bottom w:val="nil"/>
            </w:tcBorders>
            <w:shd w:val="clear" w:color="auto" w:fill="auto"/>
            <w:noWrap/>
            <w:vAlign w:val="center"/>
            <w:hideMark/>
          </w:tcPr>
          <w:p w:rsidR="00482841" w:rsidRPr="00113957" w:rsidRDefault="00482841" w:rsidP="00F06F24">
            <w:pPr>
              <w:spacing w:before="20" w:after="2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Pr>
                <w:color w:val="000000"/>
                <w:szCs w:val="20"/>
                <w:lang w:val="en-GB" w:eastAsia="es-ES"/>
              </w:rPr>
              <w:t>35.33%</w:t>
            </w:r>
          </w:p>
        </w:tc>
        <w:tc>
          <w:tcPr>
            <w:tcW w:w="1402" w:type="dxa"/>
            <w:tcBorders>
              <w:bottom w:val="nil"/>
            </w:tcBorders>
            <w:shd w:val="clear" w:color="auto" w:fill="auto"/>
            <w:noWrap/>
            <w:vAlign w:val="center"/>
            <w:hideMark/>
          </w:tcPr>
          <w:p w:rsidR="00482841" w:rsidRPr="00113957" w:rsidRDefault="00482841" w:rsidP="00F06F24">
            <w:pPr>
              <w:spacing w:before="20" w:after="20"/>
              <w:cnfStyle w:val="000000100000" w:firstRow="0" w:lastRow="0" w:firstColumn="0" w:lastColumn="0" w:oddVBand="0" w:evenVBand="0" w:oddHBand="1" w:evenHBand="0" w:firstRowFirstColumn="0" w:firstRowLastColumn="0" w:lastRowFirstColumn="0" w:lastRowLastColumn="0"/>
              <w:rPr>
                <w:color w:val="000000"/>
                <w:szCs w:val="20"/>
                <w:lang w:val="en-GB" w:eastAsia="es-ES"/>
              </w:rPr>
            </w:pPr>
            <w:r>
              <w:rPr>
                <w:color w:val="000000"/>
                <w:szCs w:val="20"/>
                <w:lang w:val="en-GB" w:eastAsia="es-ES"/>
              </w:rPr>
              <w:t>26.71%</w:t>
            </w:r>
          </w:p>
        </w:tc>
      </w:tr>
      <w:tr w:rsidR="00482841" w:rsidRPr="00113957" w:rsidTr="00F06F24">
        <w:trPr>
          <w:cantSplit/>
          <w:trHeight w:val="20"/>
        </w:trPr>
        <w:tc>
          <w:tcPr>
            <w:cnfStyle w:val="001000000000" w:firstRow="0" w:lastRow="0" w:firstColumn="1" w:lastColumn="0" w:oddVBand="0" w:evenVBand="0" w:oddHBand="0" w:evenHBand="0" w:firstRowFirstColumn="0" w:firstRowLastColumn="0" w:lastRowFirstColumn="0" w:lastRowLastColumn="0"/>
            <w:tcW w:w="3652" w:type="dxa"/>
            <w:tcBorders>
              <w:top w:val="nil"/>
              <w:bottom w:val="nil"/>
            </w:tcBorders>
            <w:shd w:val="clear" w:color="auto" w:fill="auto"/>
            <w:noWrap/>
            <w:vAlign w:val="center"/>
          </w:tcPr>
          <w:p w:rsidR="00482841" w:rsidRPr="005E61F5" w:rsidRDefault="00482841" w:rsidP="00F06F24">
            <w:pPr>
              <w:spacing w:before="20" w:after="20"/>
              <w:rPr>
                <w:b w:val="0"/>
                <w:color w:val="000000"/>
                <w:szCs w:val="20"/>
                <w:lang w:val="en-US" w:eastAsia="es-ES"/>
              </w:rPr>
            </w:pPr>
            <w:r w:rsidRPr="005E61F5">
              <w:rPr>
                <w:b w:val="0"/>
                <w:color w:val="000000"/>
                <w:szCs w:val="20"/>
                <w:lang w:val="en-US" w:eastAsia="es-ES"/>
              </w:rPr>
              <w:t>Only users of private transport</w:t>
            </w:r>
          </w:p>
        </w:tc>
        <w:tc>
          <w:tcPr>
            <w:tcW w:w="1534" w:type="dxa"/>
            <w:tcBorders>
              <w:top w:val="nil"/>
              <w:bottom w:val="nil"/>
            </w:tcBorders>
            <w:shd w:val="clear" w:color="auto" w:fill="auto"/>
            <w:noWrap/>
            <w:vAlign w:val="center"/>
          </w:tcPr>
          <w:p w:rsidR="00482841" w:rsidRPr="005E61F5" w:rsidRDefault="00482841" w:rsidP="00F06F24">
            <w:pPr>
              <w:spacing w:before="20" w:after="20"/>
              <w:cnfStyle w:val="000000000000" w:firstRow="0" w:lastRow="0" w:firstColumn="0" w:lastColumn="0" w:oddVBand="0" w:evenVBand="0" w:oddHBand="0" w:evenHBand="0" w:firstRowFirstColumn="0" w:firstRowLastColumn="0" w:lastRowFirstColumn="0" w:lastRowLastColumn="0"/>
              <w:rPr>
                <w:color w:val="000000"/>
                <w:szCs w:val="20"/>
                <w:lang w:val="en-US" w:eastAsia="es-ES"/>
              </w:rPr>
            </w:pPr>
            <w:r>
              <w:rPr>
                <w:color w:val="000000"/>
                <w:szCs w:val="20"/>
                <w:lang w:val="en-US" w:eastAsia="es-ES"/>
              </w:rPr>
              <w:t>24.74%</w:t>
            </w:r>
          </w:p>
        </w:tc>
        <w:tc>
          <w:tcPr>
            <w:tcW w:w="1540" w:type="dxa"/>
            <w:tcBorders>
              <w:top w:val="nil"/>
              <w:bottom w:val="nil"/>
            </w:tcBorders>
            <w:shd w:val="clear" w:color="auto" w:fill="auto"/>
            <w:noWrap/>
            <w:vAlign w:val="center"/>
          </w:tcPr>
          <w:p w:rsidR="00482841" w:rsidRPr="005E61F5" w:rsidRDefault="00482841" w:rsidP="00F06F24">
            <w:pPr>
              <w:spacing w:before="20" w:after="20"/>
              <w:cnfStyle w:val="000000000000" w:firstRow="0" w:lastRow="0" w:firstColumn="0" w:lastColumn="0" w:oddVBand="0" w:evenVBand="0" w:oddHBand="0" w:evenHBand="0" w:firstRowFirstColumn="0" w:firstRowLastColumn="0" w:lastRowFirstColumn="0" w:lastRowLastColumn="0"/>
              <w:rPr>
                <w:color w:val="000000"/>
                <w:szCs w:val="20"/>
                <w:lang w:val="en-US" w:eastAsia="es-ES"/>
              </w:rPr>
            </w:pPr>
            <w:r>
              <w:rPr>
                <w:color w:val="000000"/>
                <w:szCs w:val="20"/>
                <w:lang w:val="en-US" w:eastAsia="es-ES"/>
              </w:rPr>
              <w:t>43.33%</w:t>
            </w:r>
          </w:p>
        </w:tc>
        <w:tc>
          <w:tcPr>
            <w:tcW w:w="1402" w:type="dxa"/>
            <w:tcBorders>
              <w:top w:val="nil"/>
              <w:bottom w:val="nil"/>
            </w:tcBorders>
            <w:shd w:val="clear" w:color="auto" w:fill="auto"/>
            <w:noWrap/>
            <w:vAlign w:val="center"/>
          </w:tcPr>
          <w:p w:rsidR="00482841" w:rsidRPr="005E61F5" w:rsidRDefault="00482841" w:rsidP="00F06F24">
            <w:pPr>
              <w:spacing w:before="20" w:after="20"/>
              <w:cnfStyle w:val="000000000000" w:firstRow="0" w:lastRow="0" w:firstColumn="0" w:lastColumn="0" w:oddVBand="0" w:evenVBand="0" w:oddHBand="0" w:evenHBand="0" w:firstRowFirstColumn="0" w:firstRowLastColumn="0" w:lastRowFirstColumn="0" w:lastRowLastColumn="0"/>
              <w:rPr>
                <w:color w:val="000000"/>
                <w:szCs w:val="20"/>
                <w:lang w:val="en-US" w:eastAsia="es-ES"/>
              </w:rPr>
            </w:pPr>
            <w:r>
              <w:rPr>
                <w:color w:val="000000"/>
                <w:szCs w:val="20"/>
                <w:lang w:val="en-US" w:eastAsia="es-ES"/>
              </w:rPr>
              <w:t>51.55%</w:t>
            </w:r>
          </w:p>
        </w:tc>
      </w:tr>
      <w:tr w:rsidR="00482841" w:rsidRPr="00113957" w:rsidTr="00F06F2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3652" w:type="dxa"/>
            <w:tcBorders>
              <w:top w:val="nil"/>
              <w:bottom w:val="single" w:sz="4" w:space="0" w:color="auto"/>
            </w:tcBorders>
            <w:shd w:val="clear" w:color="auto" w:fill="auto"/>
            <w:noWrap/>
            <w:vAlign w:val="center"/>
          </w:tcPr>
          <w:p w:rsidR="00482841" w:rsidRPr="005E61F5" w:rsidRDefault="00482841" w:rsidP="00F06F24">
            <w:pPr>
              <w:spacing w:before="20" w:after="20"/>
              <w:rPr>
                <w:b w:val="0"/>
                <w:color w:val="000000"/>
                <w:szCs w:val="20"/>
                <w:lang w:val="en-GB" w:eastAsia="es-ES"/>
              </w:rPr>
            </w:pPr>
            <w:r>
              <w:rPr>
                <w:b w:val="0"/>
                <w:color w:val="000000"/>
                <w:szCs w:val="20"/>
                <w:lang w:val="en-GB" w:eastAsia="es-ES"/>
              </w:rPr>
              <w:t>Users of public and private transport</w:t>
            </w:r>
          </w:p>
        </w:tc>
        <w:tc>
          <w:tcPr>
            <w:tcW w:w="1534" w:type="dxa"/>
            <w:tcBorders>
              <w:top w:val="nil"/>
              <w:bottom w:val="single" w:sz="4" w:space="0" w:color="auto"/>
            </w:tcBorders>
            <w:shd w:val="clear" w:color="auto" w:fill="auto"/>
            <w:noWrap/>
            <w:vAlign w:val="center"/>
          </w:tcPr>
          <w:p w:rsidR="00482841" w:rsidRPr="005E61F5" w:rsidRDefault="00482841" w:rsidP="00F06F24">
            <w:pPr>
              <w:spacing w:before="20" w:after="20"/>
              <w:cnfStyle w:val="000000100000" w:firstRow="0" w:lastRow="0" w:firstColumn="0" w:lastColumn="0" w:oddVBand="0" w:evenVBand="0" w:oddHBand="1" w:evenHBand="0" w:firstRowFirstColumn="0" w:firstRowLastColumn="0" w:lastRowFirstColumn="0" w:lastRowLastColumn="0"/>
              <w:rPr>
                <w:color w:val="000000"/>
                <w:szCs w:val="20"/>
                <w:lang w:val="en-US" w:eastAsia="es-ES"/>
              </w:rPr>
            </w:pPr>
            <w:r>
              <w:rPr>
                <w:color w:val="000000"/>
                <w:szCs w:val="20"/>
                <w:lang w:val="en-US" w:eastAsia="es-ES"/>
              </w:rPr>
              <w:t>27.49%</w:t>
            </w:r>
          </w:p>
        </w:tc>
        <w:tc>
          <w:tcPr>
            <w:tcW w:w="1540" w:type="dxa"/>
            <w:tcBorders>
              <w:top w:val="nil"/>
              <w:bottom w:val="single" w:sz="4" w:space="0" w:color="auto"/>
            </w:tcBorders>
            <w:shd w:val="clear" w:color="auto" w:fill="auto"/>
            <w:noWrap/>
            <w:vAlign w:val="center"/>
          </w:tcPr>
          <w:p w:rsidR="00482841" w:rsidRPr="005E61F5" w:rsidRDefault="00482841" w:rsidP="00F06F24">
            <w:pPr>
              <w:spacing w:before="20" w:after="20"/>
              <w:cnfStyle w:val="000000100000" w:firstRow="0" w:lastRow="0" w:firstColumn="0" w:lastColumn="0" w:oddVBand="0" w:evenVBand="0" w:oddHBand="1" w:evenHBand="0" w:firstRowFirstColumn="0" w:firstRowLastColumn="0" w:lastRowFirstColumn="0" w:lastRowLastColumn="0"/>
              <w:rPr>
                <w:color w:val="000000"/>
                <w:szCs w:val="20"/>
                <w:lang w:val="en-US" w:eastAsia="es-ES"/>
              </w:rPr>
            </w:pPr>
            <w:r>
              <w:rPr>
                <w:color w:val="000000"/>
                <w:szCs w:val="20"/>
                <w:lang w:val="en-US" w:eastAsia="es-ES"/>
              </w:rPr>
              <w:t>21.33%</w:t>
            </w:r>
          </w:p>
        </w:tc>
        <w:tc>
          <w:tcPr>
            <w:tcW w:w="1402" w:type="dxa"/>
            <w:tcBorders>
              <w:top w:val="nil"/>
              <w:bottom w:val="single" w:sz="4" w:space="0" w:color="auto"/>
            </w:tcBorders>
            <w:shd w:val="clear" w:color="auto" w:fill="auto"/>
            <w:noWrap/>
            <w:vAlign w:val="center"/>
          </w:tcPr>
          <w:p w:rsidR="00482841" w:rsidRPr="005E61F5" w:rsidRDefault="00482841" w:rsidP="00F06F24">
            <w:pPr>
              <w:spacing w:before="20" w:after="20"/>
              <w:cnfStyle w:val="000000100000" w:firstRow="0" w:lastRow="0" w:firstColumn="0" w:lastColumn="0" w:oddVBand="0" w:evenVBand="0" w:oddHBand="1" w:evenHBand="0" w:firstRowFirstColumn="0" w:firstRowLastColumn="0" w:lastRowFirstColumn="0" w:lastRowLastColumn="0"/>
              <w:rPr>
                <w:color w:val="000000"/>
                <w:szCs w:val="20"/>
                <w:lang w:val="en-US" w:eastAsia="es-ES"/>
              </w:rPr>
            </w:pPr>
            <w:r>
              <w:rPr>
                <w:color w:val="000000"/>
                <w:szCs w:val="20"/>
                <w:lang w:val="en-US" w:eastAsia="es-ES"/>
              </w:rPr>
              <w:t>21.74%</w:t>
            </w:r>
          </w:p>
        </w:tc>
      </w:tr>
    </w:tbl>
    <w:p w:rsidR="00482841" w:rsidRDefault="008B15A6" w:rsidP="008B15A6">
      <w:pPr>
        <w:pStyle w:val="Text"/>
        <w:jc w:val="center"/>
      </w:pPr>
      <w:r w:rsidRPr="004432B6">
        <w:rPr>
          <w:sz w:val="18"/>
          <w:szCs w:val="18"/>
        </w:rPr>
        <w:t xml:space="preserve">Table </w:t>
      </w:r>
      <w:r>
        <w:rPr>
          <w:sz w:val="18"/>
          <w:szCs w:val="18"/>
        </w:rPr>
        <w:t>4</w:t>
      </w:r>
      <w:r w:rsidRPr="004432B6">
        <w:rPr>
          <w:sz w:val="18"/>
          <w:szCs w:val="18"/>
        </w:rPr>
        <w:t xml:space="preserve">. </w:t>
      </w:r>
      <w:r>
        <w:rPr>
          <w:sz w:val="18"/>
          <w:szCs w:val="18"/>
        </w:rPr>
        <w:t>Daily transport by type of commuting</w:t>
      </w:r>
    </w:p>
    <w:p w:rsidR="00804C17" w:rsidRDefault="00804C17" w:rsidP="00804C17">
      <w:pPr>
        <w:pStyle w:val="Text"/>
      </w:pPr>
      <w:r>
        <w:t xml:space="preserve">Regarding the use of shared services, the </w:t>
      </w:r>
      <w:r w:rsidRPr="00D95AB4">
        <w:t>66</w:t>
      </w:r>
      <w:r>
        <w:t>.28</w:t>
      </w:r>
      <w:r w:rsidRPr="00D95AB4">
        <w:t>%</w:t>
      </w:r>
      <w:r>
        <w:t xml:space="preserve"> of interviewees had never used a vehicle sharing or a ridesharing service, the 20.1% had used only one type of these services and the remaining 13.62% had used more than one type of mobility sharing services. </w:t>
      </w:r>
      <w:r w:rsidR="00AD0F15">
        <w:t xml:space="preserve">As reflected in Figure 3, the </w:t>
      </w:r>
      <w:r>
        <w:t>most popular mobility service was bikesharing (20.6% of participants had used Bicing), followed by ridesharing (14.62% had used BlaBlaCar), carsharing (</w:t>
      </w:r>
      <w:r w:rsidR="00B1263D">
        <w:t>6</w:t>
      </w:r>
      <w:r>
        <w:t>,48% had used Avancar and</w:t>
      </w:r>
      <w:r w:rsidR="00B1263D">
        <w:t xml:space="preserve"> 1.83%</w:t>
      </w:r>
      <w:r>
        <w:t xml:space="preserve"> SocialCar) and motosharing (</w:t>
      </w:r>
      <w:r w:rsidR="00620589">
        <w:t>2.49% had used eCooltra, 0.83% had used Yugo and 0,50% had used Motit</w:t>
      </w:r>
      <w:r>
        <w:t xml:space="preserve">) - notice that these results </w:t>
      </w:r>
      <w:r w:rsidR="00AD0F15">
        <w:t xml:space="preserve">were </w:t>
      </w:r>
      <w:r>
        <w:t xml:space="preserve">from a multiple choice question -. Among users of mobility sharing services, no difference was observed </w:t>
      </w:r>
      <w:r w:rsidRPr="00D17A58">
        <w:t>from a gender perspective</w:t>
      </w:r>
      <w:r>
        <w:t>, but it was noticeable the difference of behaviours between generations. Only the 19% of participants between 46 and 55</w:t>
      </w:r>
      <w:r w:rsidRPr="00BC4836">
        <w:t xml:space="preserve"> </w:t>
      </w:r>
      <w:r>
        <w:t xml:space="preserve">years old had used this type of services, whilst the 38% of participants aged 30-45 and the 44% of participants aged 18-29 had used them (Table 2). The most valued aspect by respondents of mobility services was that these services are cost-saving, and the least value aspect was the limited availability. </w:t>
      </w:r>
    </w:p>
    <w:p w:rsidR="00804C17" w:rsidRDefault="00D30BAB" w:rsidP="00F06F24">
      <w:pPr>
        <w:pStyle w:val="Text"/>
        <w:spacing w:before="240" w:after="0"/>
      </w:pPr>
      <w:r>
        <w:rPr>
          <w:noProof/>
          <w:lang w:val="es-ES" w:eastAsia="es-ES"/>
        </w:rPr>
        <w:drawing>
          <wp:inline distT="0" distB="0" distL="0" distR="0">
            <wp:extent cx="5274000" cy="2516429"/>
            <wp:effectExtent l="0" t="0" r="22225" b="1778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926" w:rsidRDefault="00326926" w:rsidP="00F06F24">
      <w:pPr>
        <w:pStyle w:val="Text"/>
        <w:spacing w:after="0"/>
        <w:jc w:val="center"/>
      </w:pPr>
      <w:r>
        <w:rPr>
          <w:sz w:val="18"/>
          <w:szCs w:val="18"/>
        </w:rPr>
        <w:t>Figure 3. Responses to “Which of the following services have you used at least once?”</w:t>
      </w:r>
    </w:p>
    <w:p w:rsidR="00883339" w:rsidRDefault="008E0482" w:rsidP="00C25EBF">
      <w:pPr>
        <w:pStyle w:val="Text"/>
        <w:spacing w:before="240"/>
      </w:pPr>
      <w:r>
        <w:t xml:space="preserve">Considering the results presented in this section, it can be assumed that the mobility behaviour of the population changes </w:t>
      </w:r>
      <w:r w:rsidR="00BF7602">
        <w:t>according to</w:t>
      </w:r>
      <w:r>
        <w:t xml:space="preserve"> the age, gender, type of commuting</w:t>
      </w:r>
      <w:r w:rsidR="00001DBE">
        <w:t xml:space="preserve"> </w:t>
      </w:r>
      <w:r>
        <w:t>and employment situation.</w:t>
      </w:r>
      <w:r w:rsidR="007D6C6C">
        <w:t xml:space="preserve"> T</w:t>
      </w:r>
      <w:r w:rsidR="00BF7602">
        <w:t xml:space="preserve">he youngest </w:t>
      </w:r>
      <w:r w:rsidR="007336BD">
        <w:t>population</w:t>
      </w:r>
      <w:r w:rsidR="00BF7602">
        <w:t xml:space="preserve"> stood out</w:t>
      </w:r>
      <w:r w:rsidR="00BD1E86">
        <w:t xml:space="preserve"> </w:t>
      </w:r>
      <w:r w:rsidR="007A4A5F">
        <w:t>for</w:t>
      </w:r>
      <w:r w:rsidR="00BD1E86">
        <w:t xml:space="preserve"> their use of public transportation, use of shared services</w:t>
      </w:r>
      <w:r>
        <w:t xml:space="preserve"> </w:t>
      </w:r>
      <w:r w:rsidR="00BD1E86">
        <w:t xml:space="preserve">and being </w:t>
      </w:r>
      <w:r w:rsidR="00BD1E86">
        <w:lastRenderedPageBreak/>
        <w:t>more multimodal, featuring a similar behaviour as</w:t>
      </w:r>
      <w:r w:rsidR="005E7F90">
        <w:t xml:space="preserve"> students</w:t>
      </w:r>
      <w:r w:rsidR="007D6C6C">
        <w:t xml:space="preserve">. However, </w:t>
      </w:r>
      <w:r w:rsidR="00BE0883">
        <w:t xml:space="preserve">the </w:t>
      </w:r>
      <w:r w:rsidR="004544A9">
        <w:t>94.</w:t>
      </w:r>
      <w:r w:rsidR="005A7A3C">
        <w:t xml:space="preserve">62% of surveyed students </w:t>
      </w:r>
      <w:r w:rsidR="007D6C6C">
        <w:t xml:space="preserve">aged 18-29. </w:t>
      </w:r>
      <w:r w:rsidR="009F48A2">
        <w:t xml:space="preserve">Between genders, </w:t>
      </w:r>
      <w:r w:rsidR="00DE7CE3">
        <w:t>women</w:t>
      </w:r>
      <w:r w:rsidR="009F48A2">
        <w:t xml:space="preserve"> travel</w:t>
      </w:r>
      <w:r w:rsidR="00815FEF">
        <w:t>led</w:t>
      </w:r>
      <w:r w:rsidR="009F48A2">
        <w:t xml:space="preserve"> more by public transport</w:t>
      </w:r>
      <w:r w:rsidR="00FE2FA3">
        <w:t xml:space="preserve"> than by car, </w:t>
      </w:r>
      <w:r w:rsidR="009F48A2">
        <w:t xml:space="preserve">whereas men </w:t>
      </w:r>
      <w:r w:rsidR="00815FEF">
        <w:t>us</w:t>
      </w:r>
      <w:r w:rsidR="00D716D9">
        <w:t>ed more the</w:t>
      </w:r>
      <w:r w:rsidR="009F48A2">
        <w:t xml:space="preserve"> car</w:t>
      </w:r>
      <w:r w:rsidR="00883339">
        <w:t>,</w:t>
      </w:r>
      <w:r w:rsidR="00D716D9">
        <w:t xml:space="preserve"> with the exception of commuters within the city. </w:t>
      </w:r>
      <w:r w:rsidR="009F48A2">
        <w:t xml:space="preserve"> </w:t>
      </w:r>
    </w:p>
    <w:p w:rsidR="00700FD4" w:rsidRPr="00700FD4" w:rsidRDefault="00DF6F3A" w:rsidP="002E63CB">
      <w:pPr>
        <w:pStyle w:val="Text"/>
        <w:spacing w:before="240"/>
      </w:pPr>
      <w:r>
        <w:t>W</w:t>
      </w:r>
      <w:r w:rsidR="00883339">
        <w:t xml:space="preserve">hat will happen in the next years with the emergence of new forms of mobility? </w:t>
      </w:r>
      <w:r w:rsidR="00C13FB3">
        <w:t xml:space="preserve">Will </w:t>
      </w:r>
      <w:r w:rsidR="001A757A">
        <w:t>citizens</w:t>
      </w:r>
      <w:r>
        <w:t xml:space="preserve"> change their</w:t>
      </w:r>
      <w:r w:rsidR="00C13FB3">
        <w:t xml:space="preserve"> mobility</w:t>
      </w:r>
      <w:r w:rsidR="001A757A">
        <w:t xml:space="preserve"> patterns</w:t>
      </w:r>
      <w:r w:rsidR="00C13FB3">
        <w:t>?</w:t>
      </w:r>
      <w:r w:rsidR="005D5AD2">
        <w:t xml:space="preserve"> It is probably too early to </w:t>
      </w:r>
      <w:r>
        <w:t xml:space="preserve">foresee </w:t>
      </w:r>
      <w:r w:rsidR="005D5AD2">
        <w:t>it</w:t>
      </w:r>
      <w:r w:rsidR="001A757A">
        <w:t xml:space="preserve">, </w:t>
      </w:r>
      <w:r w:rsidR="00D30F42">
        <w:t>though</w:t>
      </w:r>
      <w:r w:rsidR="001A757A">
        <w:t xml:space="preserve"> </w:t>
      </w:r>
      <w:r w:rsidR="00BF3C78">
        <w:t xml:space="preserve">it is important to understand citizens’ </w:t>
      </w:r>
      <w:r w:rsidR="001A757A">
        <w:t xml:space="preserve">intention </w:t>
      </w:r>
      <w:r w:rsidR="00BF3C78">
        <w:t xml:space="preserve">to </w:t>
      </w:r>
      <w:r w:rsidR="001A757A">
        <w:t xml:space="preserve">use </w:t>
      </w:r>
      <w:r w:rsidR="00BF3C78">
        <w:t xml:space="preserve">these </w:t>
      </w:r>
      <w:r w:rsidR="001A757A">
        <w:t>new mobility services in</w:t>
      </w:r>
      <w:r w:rsidR="00BF3C78">
        <w:t xml:space="preserve"> order to</w:t>
      </w:r>
      <w:r w:rsidR="001A757A">
        <w:t xml:space="preserve"> </w:t>
      </w:r>
      <w:r w:rsidR="002E63CB">
        <w:t>design their business models</w:t>
      </w:r>
      <w:r w:rsidR="00D30F42">
        <w:t>.</w:t>
      </w:r>
    </w:p>
    <w:p w:rsidR="009569CC" w:rsidRDefault="009569CC" w:rsidP="009569CC">
      <w:pPr>
        <w:pStyle w:val="Ttulo2"/>
        <w:numPr>
          <w:ilvl w:val="1"/>
          <w:numId w:val="1"/>
        </w:numPr>
        <w:ind w:left="0" w:hanging="567"/>
      </w:pPr>
      <w:r>
        <w:t>Intended use of shared mobility services</w:t>
      </w:r>
    </w:p>
    <w:p w:rsidR="00CB2CCD" w:rsidRDefault="00E80452" w:rsidP="005C209E">
      <w:pPr>
        <w:pStyle w:val="Text"/>
      </w:pPr>
      <w:r>
        <w:t xml:space="preserve">Figure 4 provides the histogram of the intention of use of the different shared mobility services considered in the survey. </w:t>
      </w:r>
      <w:r w:rsidR="00671F46">
        <w:t xml:space="preserve">Interviewees expressed their intention of use of the services </w:t>
      </w:r>
      <w:r w:rsidR="00EA6FE9">
        <w:t>on a</w:t>
      </w:r>
      <w:r w:rsidR="008B1EEE">
        <w:t> 7-likert scale</w:t>
      </w:r>
      <w:r w:rsidR="00FA127F">
        <w:t xml:space="preserve"> (Table 5)</w:t>
      </w:r>
      <w:r w:rsidR="008B1EEE">
        <w:t>.</w:t>
      </w:r>
      <w:r w:rsidR="00CB2CCD">
        <w:t xml:space="preserve"> The histogram reflects</w:t>
      </w:r>
      <w:r w:rsidR="00926B8F">
        <w:t xml:space="preserve"> that the</w:t>
      </w:r>
      <w:r w:rsidR="00CB2CCD">
        <w:t xml:space="preserve"> highe</w:t>
      </w:r>
      <w:r w:rsidR="00926B8F">
        <w:t>st</w:t>
      </w:r>
      <w:r w:rsidR="00CB2CCD">
        <w:t xml:space="preserve"> intention of use</w:t>
      </w:r>
      <w:r w:rsidR="006A2993">
        <w:t xml:space="preserve"> (sum total of answers 5 to 7)</w:t>
      </w:r>
      <w:r w:rsidR="00926B8F">
        <w:t xml:space="preserve"> is towards carsharing B2C, followed by singular ride-hailing, ridesharing, s</w:t>
      </w:r>
      <w:r w:rsidR="00CB2CCD">
        <w:t>hared ride-hailing and carsharing P2P</w:t>
      </w:r>
      <w:r w:rsidR="00926B8F">
        <w:t>.</w:t>
      </w:r>
    </w:p>
    <w:tbl>
      <w:tblPr>
        <w:tblStyle w:val="Sombreadoclaro"/>
        <w:tblW w:w="0" w:type="auto"/>
        <w:tblLook w:val="04A0" w:firstRow="1" w:lastRow="0" w:firstColumn="1" w:lastColumn="0" w:noHBand="0" w:noVBand="1"/>
      </w:tblPr>
      <w:tblGrid>
        <w:gridCol w:w="1207"/>
        <w:gridCol w:w="1207"/>
        <w:gridCol w:w="1207"/>
        <w:gridCol w:w="1207"/>
        <w:gridCol w:w="1208"/>
        <w:gridCol w:w="1208"/>
        <w:gridCol w:w="1208"/>
      </w:tblGrid>
      <w:tr w:rsidR="006A1BAF" w:rsidRPr="006A1BAF" w:rsidTr="006A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shd w:val="clear" w:color="auto" w:fill="auto"/>
            <w:vAlign w:val="center"/>
          </w:tcPr>
          <w:p w:rsidR="006A1BAF" w:rsidRPr="006A1BAF" w:rsidRDefault="006A1BAF" w:rsidP="006A1BAF">
            <w:pPr>
              <w:spacing w:before="40" w:after="40"/>
              <w:rPr>
                <w:b w:val="0"/>
                <w:szCs w:val="20"/>
                <w:lang w:val="en-US"/>
              </w:rPr>
            </w:pPr>
            <w:r w:rsidRPr="006A1BAF">
              <w:rPr>
                <w:b w:val="0"/>
                <w:szCs w:val="20"/>
                <w:lang w:val="en-US"/>
              </w:rPr>
              <w:t>Will definitely not use it</w:t>
            </w:r>
          </w:p>
        </w:tc>
        <w:tc>
          <w:tcPr>
            <w:tcW w:w="1207" w:type="dxa"/>
            <w:shd w:val="clear" w:color="auto" w:fill="auto"/>
            <w:vAlign w:val="center"/>
          </w:tcPr>
          <w:p w:rsidR="006A1BAF" w:rsidRPr="006A1BAF" w:rsidRDefault="006A1BAF" w:rsidP="006A1BAF">
            <w:pPr>
              <w:spacing w:before="40" w:after="40"/>
              <w:cnfStyle w:val="100000000000" w:firstRow="1" w:lastRow="0" w:firstColumn="0" w:lastColumn="0" w:oddVBand="0" w:evenVBand="0" w:oddHBand="0" w:evenHBand="0" w:firstRowFirstColumn="0" w:firstRowLastColumn="0" w:lastRowFirstColumn="0" w:lastRowLastColumn="0"/>
              <w:rPr>
                <w:b w:val="0"/>
                <w:szCs w:val="20"/>
                <w:lang w:val="en-US"/>
              </w:rPr>
            </w:pPr>
            <w:r w:rsidRPr="006A1BAF">
              <w:rPr>
                <w:b w:val="0"/>
                <w:szCs w:val="20"/>
                <w:lang w:val="en-US"/>
              </w:rPr>
              <w:t>Will probably not use it</w:t>
            </w:r>
          </w:p>
        </w:tc>
        <w:tc>
          <w:tcPr>
            <w:tcW w:w="1207" w:type="dxa"/>
            <w:shd w:val="clear" w:color="auto" w:fill="auto"/>
            <w:vAlign w:val="center"/>
          </w:tcPr>
          <w:p w:rsidR="006A1BAF" w:rsidRPr="006A1BAF" w:rsidRDefault="006A1BAF" w:rsidP="006A1BAF">
            <w:pPr>
              <w:spacing w:before="40" w:after="40"/>
              <w:cnfStyle w:val="100000000000" w:firstRow="1" w:lastRow="0" w:firstColumn="0" w:lastColumn="0" w:oddVBand="0" w:evenVBand="0" w:oddHBand="0" w:evenHBand="0" w:firstRowFirstColumn="0" w:firstRowLastColumn="0" w:lastRowFirstColumn="0" w:lastRowLastColumn="0"/>
              <w:rPr>
                <w:b w:val="0"/>
                <w:szCs w:val="20"/>
                <w:lang w:val="en-US"/>
              </w:rPr>
            </w:pPr>
            <w:r w:rsidRPr="006A1BAF">
              <w:rPr>
                <w:b w:val="0"/>
                <w:szCs w:val="20"/>
                <w:lang w:val="en-US"/>
              </w:rPr>
              <w:t>Will maybe not use it</w:t>
            </w:r>
          </w:p>
        </w:tc>
        <w:tc>
          <w:tcPr>
            <w:tcW w:w="1207" w:type="dxa"/>
            <w:shd w:val="clear" w:color="auto" w:fill="auto"/>
            <w:vAlign w:val="center"/>
          </w:tcPr>
          <w:p w:rsidR="006A1BAF" w:rsidRPr="006A1BAF" w:rsidRDefault="006A1BAF" w:rsidP="006A1BAF">
            <w:pPr>
              <w:spacing w:before="40" w:after="40"/>
              <w:cnfStyle w:val="100000000000" w:firstRow="1" w:lastRow="0" w:firstColumn="0" w:lastColumn="0" w:oddVBand="0" w:evenVBand="0" w:oddHBand="0" w:evenHBand="0" w:firstRowFirstColumn="0" w:firstRowLastColumn="0" w:lastRowFirstColumn="0" w:lastRowLastColumn="0"/>
              <w:rPr>
                <w:b w:val="0"/>
                <w:szCs w:val="20"/>
                <w:lang w:val="en-US"/>
              </w:rPr>
            </w:pPr>
            <w:r w:rsidRPr="006A1BAF">
              <w:rPr>
                <w:b w:val="0"/>
                <w:szCs w:val="20"/>
                <w:lang w:val="en-US"/>
              </w:rPr>
              <w:t xml:space="preserve">Indifferent </w:t>
            </w:r>
          </w:p>
        </w:tc>
        <w:tc>
          <w:tcPr>
            <w:tcW w:w="1208" w:type="dxa"/>
            <w:shd w:val="clear" w:color="auto" w:fill="auto"/>
            <w:vAlign w:val="center"/>
          </w:tcPr>
          <w:p w:rsidR="006A1BAF" w:rsidRPr="006A1BAF" w:rsidRDefault="006A1BAF" w:rsidP="006A1BAF">
            <w:pPr>
              <w:spacing w:before="40" w:after="40"/>
              <w:cnfStyle w:val="100000000000" w:firstRow="1" w:lastRow="0" w:firstColumn="0" w:lastColumn="0" w:oddVBand="0" w:evenVBand="0" w:oddHBand="0" w:evenHBand="0" w:firstRowFirstColumn="0" w:firstRowLastColumn="0" w:lastRowFirstColumn="0" w:lastRowLastColumn="0"/>
              <w:rPr>
                <w:b w:val="0"/>
                <w:szCs w:val="20"/>
                <w:lang w:val="en-US"/>
              </w:rPr>
            </w:pPr>
            <w:r w:rsidRPr="006A1BAF">
              <w:rPr>
                <w:b w:val="0"/>
                <w:szCs w:val="20"/>
                <w:lang w:val="en-US"/>
              </w:rPr>
              <w:t>Will maybe use it</w:t>
            </w:r>
          </w:p>
        </w:tc>
        <w:tc>
          <w:tcPr>
            <w:tcW w:w="1208" w:type="dxa"/>
            <w:shd w:val="clear" w:color="auto" w:fill="auto"/>
            <w:vAlign w:val="center"/>
          </w:tcPr>
          <w:p w:rsidR="006A1BAF" w:rsidRPr="006A1BAF" w:rsidRDefault="006A1BAF" w:rsidP="006A1BAF">
            <w:pPr>
              <w:spacing w:before="40" w:after="40"/>
              <w:cnfStyle w:val="100000000000" w:firstRow="1" w:lastRow="0" w:firstColumn="0" w:lastColumn="0" w:oddVBand="0" w:evenVBand="0" w:oddHBand="0" w:evenHBand="0" w:firstRowFirstColumn="0" w:firstRowLastColumn="0" w:lastRowFirstColumn="0" w:lastRowLastColumn="0"/>
              <w:rPr>
                <w:b w:val="0"/>
                <w:szCs w:val="20"/>
                <w:lang w:val="en-US"/>
              </w:rPr>
            </w:pPr>
            <w:r w:rsidRPr="006A1BAF">
              <w:rPr>
                <w:b w:val="0"/>
                <w:szCs w:val="20"/>
                <w:lang w:val="en-US"/>
              </w:rPr>
              <w:t>Will probably use it</w:t>
            </w:r>
          </w:p>
        </w:tc>
        <w:tc>
          <w:tcPr>
            <w:tcW w:w="1208" w:type="dxa"/>
            <w:shd w:val="clear" w:color="auto" w:fill="auto"/>
            <w:vAlign w:val="center"/>
          </w:tcPr>
          <w:p w:rsidR="006A1BAF" w:rsidRPr="006A1BAF" w:rsidRDefault="006A1BAF" w:rsidP="006A1BAF">
            <w:pPr>
              <w:spacing w:before="40" w:after="40"/>
              <w:cnfStyle w:val="100000000000" w:firstRow="1" w:lastRow="0" w:firstColumn="0" w:lastColumn="0" w:oddVBand="0" w:evenVBand="0" w:oddHBand="0" w:evenHBand="0" w:firstRowFirstColumn="0" w:firstRowLastColumn="0" w:lastRowFirstColumn="0" w:lastRowLastColumn="0"/>
              <w:rPr>
                <w:b w:val="0"/>
                <w:szCs w:val="20"/>
                <w:lang w:val="en-US"/>
              </w:rPr>
            </w:pPr>
            <w:r w:rsidRPr="006A1BAF">
              <w:rPr>
                <w:b w:val="0"/>
                <w:szCs w:val="20"/>
                <w:lang w:val="en-US"/>
              </w:rPr>
              <w:t>Will definitely use it</w:t>
            </w:r>
          </w:p>
        </w:tc>
      </w:tr>
      <w:tr w:rsidR="006A1BAF" w:rsidRPr="006A1BAF" w:rsidTr="006A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dxa"/>
            <w:shd w:val="clear" w:color="auto" w:fill="auto"/>
            <w:vAlign w:val="center"/>
          </w:tcPr>
          <w:p w:rsidR="006A1BAF" w:rsidRPr="006A1BAF" w:rsidRDefault="006A1BAF" w:rsidP="006A1BAF">
            <w:pPr>
              <w:spacing w:before="40" w:after="40"/>
              <w:rPr>
                <w:b w:val="0"/>
                <w:szCs w:val="20"/>
              </w:rPr>
            </w:pPr>
            <w:r>
              <w:rPr>
                <w:b w:val="0"/>
                <w:szCs w:val="20"/>
              </w:rPr>
              <w:t>1</w:t>
            </w:r>
          </w:p>
        </w:tc>
        <w:tc>
          <w:tcPr>
            <w:tcW w:w="1207" w:type="dxa"/>
            <w:shd w:val="clear" w:color="auto" w:fill="auto"/>
            <w:vAlign w:val="center"/>
          </w:tcPr>
          <w:p w:rsidR="006A1BAF" w:rsidRPr="006A1BAF" w:rsidRDefault="006A1BAF" w:rsidP="006A1BAF">
            <w:pPr>
              <w:spacing w:before="40" w:after="40"/>
              <w:cnfStyle w:val="000000100000" w:firstRow="0" w:lastRow="0" w:firstColumn="0" w:lastColumn="0" w:oddVBand="0" w:evenVBand="0" w:oddHBand="1" w:evenHBand="0" w:firstRowFirstColumn="0" w:firstRowLastColumn="0" w:lastRowFirstColumn="0" w:lastRowLastColumn="0"/>
              <w:rPr>
                <w:szCs w:val="20"/>
              </w:rPr>
            </w:pPr>
            <w:r>
              <w:rPr>
                <w:szCs w:val="20"/>
              </w:rPr>
              <w:t>2</w:t>
            </w:r>
          </w:p>
        </w:tc>
        <w:tc>
          <w:tcPr>
            <w:tcW w:w="1207" w:type="dxa"/>
            <w:shd w:val="clear" w:color="auto" w:fill="auto"/>
            <w:vAlign w:val="center"/>
          </w:tcPr>
          <w:p w:rsidR="006A1BAF" w:rsidRPr="006A1BAF" w:rsidRDefault="006A1BAF" w:rsidP="006A1BAF">
            <w:pPr>
              <w:spacing w:before="40" w:after="40"/>
              <w:cnfStyle w:val="000000100000" w:firstRow="0" w:lastRow="0" w:firstColumn="0" w:lastColumn="0" w:oddVBand="0" w:evenVBand="0" w:oddHBand="1" w:evenHBand="0" w:firstRowFirstColumn="0" w:firstRowLastColumn="0" w:lastRowFirstColumn="0" w:lastRowLastColumn="0"/>
              <w:rPr>
                <w:szCs w:val="20"/>
              </w:rPr>
            </w:pPr>
            <w:r>
              <w:rPr>
                <w:szCs w:val="20"/>
              </w:rPr>
              <w:t>3</w:t>
            </w:r>
          </w:p>
        </w:tc>
        <w:tc>
          <w:tcPr>
            <w:tcW w:w="1207" w:type="dxa"/>
            <w:shd w:val="clear" w:color="auto" w:fill="auto"/>
            <w:vAlign w:val="center"/>
          </w:tcPr>
          <w:p w:rsidR="006A1BAF" w:rsidRPr="006A1BAF" w:rsidRDefault="006A1BAF" w:rsidP="006A1BAF">
            <w:pPr>
              <w:spacing w:before="40" w:after="40"/>
              <w:cnfStyle w:val="000000100000" w:firstRow="0" w:lastRow="0" w:firstColumn="0" w:lastColumn="0" w:oddVBand="0" w:evenVBand="0" w:oddHBand="1" w:evenHBand="0" w:firstRowFirstColumn="0" w:firstRowLastColumn="0" w:lastRowFirstColumn="0" w:lastRowLastColumn="0"/>
              <w:rPr>
                <w:szCs w:val="20"/>
              </w:rPr>
            </w:pPr>
            <w:r>
              <w:rPr>
                <w:szCs w:val="20"/>
              </w:rPr>
              <w:t>4</w:t>
            </w:r>
          </w:p>
        </w:tc>
        <w:tc>
          <w:tcPr>
            <w:tcW w:w="1208" w:type="dxa"/>
            <w:shd w:val="clear" w:color="auto" w:fill="auto"/>
            <w:vAlign w:val="center"/>
          </w:tcPr>
          <w:p w:rsidR="006A1BAF" w:rsidRPr="006A1BAF" w:rsidRDefault="006A1BAF" w:rsidP="006A1BAF">
            <w:pPr>
              <w:spacing w:before="40" w:after="40"/>
              <w:cnfStyle w:val="000000100000" w:firstRow="0" w:lastRow="0" w:firstColumn="0" w:lastColumn="0" w:oddVBand="0" w:evenVBand="0" w:oddHBand="1" w:evenHBand="0" w:firstRowFirstColumn="0" w:firstRowLastColumn="0" w:lastRowFirstColumn="0" w:lastRowLastColumn="0"/>
              <w:rPr>
                <w:szCs w:val="20"/>
              </w:rPr>
            </w:pPr>
            <w:r>
              <w:rPr>
                <w:szCs w:val="20"/>
              </w:rPr>
              <w:t>5</w:t>
            </w:r>
          </w:p>
        </w:tc>
        <w:tc>
          <w:tcPr>
            <w:tcW w:w="1208" w:type="dxa"/>
            <w:shd w:val="clear" w:color="auto" w:fill="auto"/>
            <w:vAlign w:val="center"/>
          </w:tcPr>
          <w:p w:rsidR="006A1BAF" w:rsidRPr="006A1BAF" w:rsidRDefault="006A1BAF" w:rsidP="006A1BAF">
            <w:pPr>
              <w:spacing w:before="40" w:after="40"/>
              <w:cnfStyle w:val="000000100000" w:firstRow="0" w:lastRow="0" w:firstColumn="0" w:lastColumn="0" w:oddVBand="0" w:evenVBand="0" w:oddHBand="1" w:evenHBand="0" w:firstRowFirstColumn="0" w:firstRowLastColumn="0" w:lastRowFirstColumn="0" w:lastRowLastColumn="0"/>
              <w:rPr>
                <w:szCs w:val="20"/>
              </w:rPr>
            </w:pPr>
            <w:r>
              <w:rPr>
                <w:szCs w:val="20"/>
              </w:rPr>
              <w:t>6</w:t>
            </w:r>
          </w:p>
        </w:tc>
        <w:tc>
          <w:tcPr>
            <w:tcW w:w="1208" w:type="dxa"/>
            <w:shd w:val="clear" w:color="auto" w:fill="auto"/>
            <w:vAlign w:val="center"/>
          </w:tcPr>
          <w:p w:rsidR="006A1BAF" w:rsidRPr="006A1BAF" w:rsidRDefault="006A1BAF" w:rsidP="006A1BAF">
            <w:pPr>
              <w:spacing w:before="40" w:after="40"/>
              <w:cnfStyle w:val="000000100000" w:firstRow="0" w:lastRow="0" w:firstColumn="0" w:lastColumn="0" w:oddVBand="0" w:evenVBand="0" w:oddHBand="1" w:evenHBand="0" w:firstRowFirstColumn="0" w:firstRowLastColumn="0" w:lastRowFirstColumn="0" w:lastRowLastColumn="0"/>
              <w:rPr>
                <w:szCs w:val="20"/>
              </w:rPr>
            </w:pPr>
            <w:r>
              <w:rPr>
                <w:szCs w:val="20"/>
              </w:rPr>
              <w:t>7</w:t>
            </w:r>
          </w:p>
        </w:tc>
      </w:tr>
    </w:tbl>
    <w:p w:rsidR="00F715CC" w:rsidRDefault="008B15A6" w:rsidP="00F715CC">
      <w:pPr>
        <w:spacing w:after="240"/>
        <w:jc w:val="center"/>
        <w:rPr>
          <w:sz w:val="18"/>
          <w:szCs w:val="18"/>
        </w:rPr>
      </w:pPr>
      <w:r w:rsidRPr="00795979">
        <w:rPr>
          <w:sz w:val="18"/>
          <w:szCs w:val="18"/>
        </w:rPr>
        <w:t xml:space="preserve">Table </w:t>
      </w:r>
      <w:r>
        <w:rPr>
          <w:sz w:val="18"/>
          <w:szCs w:val="18"/>
        </w:rPr>
        <w:t>5</w:t>
      </w:r>
      <w:r w:rsidRPr="00795979">
        <w:rPr>
          <w:sz w:val="18"/>
          <w:szCs w:val="18"/>
        </w:rPr>
        <w:t xml:space="preserve">. </w:t>
      </w:r>
      <w:r>
        <w:rPr>
          <w:sz w:val="18"/>
          <w:szCs w:val="18"/>
        </w:rPr>
        <w:t>Rating scale of the services</w:t>
      </w:r>
    </w:p>
    <w:p w:rsidR="00F715CC" w:rsidRDefault="00FA127F" w:rsidP="00F715CC">
      <w:pPr>
        <w:jc w:val="center"/>
        <w:rPr>
          <w:sz w:val="18"/>
          <w:szCs w:val="18"/>
        </w:rPr>
      </w:pPr>
      <w:r>
        <w:rPr>
          <w:noProof/>
          <w:lang w:val="es-ES" w:eastAsia="es-ES"/>
        </w:rPr>
        <w:drawing>
          <wp:inline distT="0" distB="0" distL="0" distR="0" wp14:anchorId="261F3FFC" wp14:editId="17E674DA">
            <wp:extent cx="5003321" cy="333534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2140" cy="3334560"/>
                    </a:xfrm>
                    <a:prstGeom prst="rect">
                      <a:avLst/>
                    </a:prstGeom>
                    <a:noFill/>
                    <a:ln>
                      <a:noFill/>
                    </a:ln>
                  </pic:spPr>
                </pic:pic>
              </a:graphicData>
            </a:graphic>
          </wp:inline>
        </w:drawing>
      </w:r>
    </w:p>
    <w:p w:rsidR="00FA127F" w:rsidRDefault="00FA127F" w:rsidP="00F715CC">
      <w:pPr>
        <w:spacing w:before="40"/>
        <w:jc w:val="center"/>
      </w:pPr>
      <w:r>
        <w:rPr>
          <w:sz w:val="18"/>
          <w:szCs w:val="18"/>
        </w:rPr>
        <w:t>Figure 4. Responses to “If this services were available, to what extent would you be willing to use them?”</w:t>
      </w:r>
    </w:p>
    <w:p w:rsidR="000D1FDA" w:rsidRDefault="004F1386" w:rsidP="00042576">
      <w:pPr>
        <w:pStyle w:val="Text"/>
      </w:pPr>
      <w:r>
        <w:lastRenderedPageBreak/>
        <w:t>In statistics, t</w:t>
      </w:r>
      <w:r w:rsidR="00F41AD1">
        <w:t xml:space="preserve">he medians obtained in all cases (general analysis, study by gender, age, previous experience and commuting locations) are similar enough to their related means, thus indicating that the data analysed has a symmetric distribution </w:t>
      </w:r>
      <w:r w:rsidR="00133459">
        <w:t>with respect</w:t>
      </w:r>
      <w:r w:rsidR="00F41AD1">
        <w:t xml:space="preserve"> to the arithmetic mean.</w:t>
      </w:r>
      <w:r w:rsidR="00C37EC2">
        <w:t xml:space="preserve"> </w:t>
      </w:r>
      <w:r w:rsidR="007E2D4A">
        <w:t xml:space="preserve">The </w:t>
      </w:r>
      <w:r w:rsidR="00E65A85">
        <w:t>highest</w:t>
      </w:r>
      <w:r w:rsidR="00BF22C5">
        <w:t xml:space="preserve"> </w:t>
      </w:r>
      <w:r w:rsidR="00C37EC2">
        <w:t xml:space="preserve">median </w:t>
      </w:r>
      <w:r w:rsidR="00B36A79">
        <w:t>achieved wa</w:t>
      </w:r>
      <w:r w:rsidR="00E65A85">
        <w:t>s for the carsharing B2C</w:t>
      </w:r>
      <w:r w:rsidR="00C37EC2">
        <w:t xml:space="preserve"> and singular ride-hailing</w:t>
      </w:r>
      <w:r w:rsidR="00E65A85">
        <w:t xml:space="preserve"> (4)</w:t>
      </w:r>
      <w:r w:rsidR="00EC1345">
        <w:t>,</w:t>
      </w:r>
      <w:r w:rsidR="006E038C">
        <w:t xml:space="preserve"> which indicates a positive mind-set towards the use of it</w:t>
      </w:r>
      <w:r w:rsidR="009B4E14">
        <w:t>, whereas</w:t>
      </w:r>
      <w:r w:rsidR="00C37EC2">
        <w:t xml:space="preserve"> </w:t>
      </w:r>
      <w:r w:rsidR="009B4E14">
        <w:t>t</w:t>
      </w:r>
      <w:r w:rsidR="00C37EC2">
        <w:t xml:space="preserve">he other services obtained a median of 3. </w:t>
      </w:r>
      <w:r w:rsidR="009B4E14">
        <w:t>These r</w:t>
      </w:r>
      <w:r w:rsidR="0033469B">
        <w:t>esults</w:t>
      </w:r>
      <w:r w:rsidR="009B4E14">
        <w:t xml:space="preserve"> were</w:t>
      </w:r>
      <w:r w:rsidR="0033469B">
        <w:t xml:space="preserve"> common to all age groups and genders.</w:t>
      </w:r>
      <w:r w:rsidR="00C80C72">
        <w:t xml:space="preserve"> </w:t>
      </w:r>
      <w:r w:rsidR="00C37F02">
        <w:t>As evidenced</w:t>
      </w:r>
      <w:r w:rsidR="00C80C72">
        <w:t xml:space="preserve">, </w:t>
      </w:r>
      <w:r w:rsidR="00612FC7">
        <w:t>the me</w:t>
      </w:r>
      <w:r w:rsidR="00C37F02">
        <w:t>di</w:t>
      </w:r>
      <w:r w:rsidR="00612FC7">
        <w:t xml:space="preserve">ans obtained </w:t>
      </w:r>
      <w:r w:rsidR="00133459">
        <w:t xml:space="preserve">revealed </w:t>
      </w:r>
      <w:r w:rsidR="00CC6ACA">
        <w:t xml:space="preserve">a predominant attitude </w:t>
      </w:r>
      <w:r w:rsidR="005907C7">
        <w:t xml:space="preserve">of uncertainty, possibly associated </w:t>
      </w:r>
      <w:r w:rsidR="00133459">
        <w:t xml:space="preserve">with </w:t>
      </w:r>
      <w:r w:rsidR="005907C7">
        <w:t xml:space="preserve">the lack of knowledge or </w:t>
      </w:r>
      <w:r w:rsidR="00133459">
        <w:t>user experience</w:t>
      </w:r>
      <w:r w:rsidR="005907C7">
        <w:t xml:space="preserve">. In fact, </w:t>
      </w:r>
      <w:r w:rsidR="0053701E">
        <w:t xml:space="preserve">respondents </w:t>
      </w:r>
      <w:r w:rsidR="00F56A66">
        <w:t xml:space="preserve">with a previous experience </w:t>
      </w:r>
      <w:r w:rsidR="00133459">
        <w:t xml:space="preserve">in </w:t>
      </w:r>
      <w:r w:rsidR="0053701E">
        <w:t>a</w:t>
      </w:r>
      <w:r w:rsidR="00F56A66">
        <w:t>ny</w:t>
      </w:r>
      <w:r w:rsidR="0053701E">
        <w:t xml:space="preserve"> shared mobility service </w:t>
      </w:r>
      <w:r w:rsidR="00425BBC">
        <w:t xml:space="preserve">reflected </w:t>
      </w:r>
      <w:r w:rsidR="000D1FDA">
        <w:t xml:space="preserve">a greater willingness to use them than </w:t>
      </w:r>
      <w:r w:rsidR="00133459">
        <w:t xml:space="preserve">inexperienced </w:t>
      </w:r>
      <w:r w:rsidR="000D1FDA">
        <w:t>respondents</w:t>
      </w:r>
      <w:r w:rsidR="00133459">
        <w:t xml:space="preserve">. </w:t>
      </w:r>
      <w:r w:rsidR="009B25DF">
        <w:t>T</w:t>
      </w:r>
      <w:r w:rsidR="0024798D">
        <w:t>he analysis of the mode</w:t>
      </w:r>
      <w:r w:rsidR="009B25DF">
        <w:t xml:space="preserve"> provides</w:t>
      </w:r>
      <w:r w:rsidR="0024798D">
        <w:t>,</w:t>
      </w:r>
      <w:r w:rsidR="009B25DF">
        <w:t xml:space="preserve"> on one hand,</w:t>
      </w:r>
      <w:r w:rsidR="0024798D">
        <w:t xml:space="preserve"> </w:t>
      </w:r>
      <w:r w:rsidR="009B25DF">
        <w:t xml:space="preserve">the </w:t>
      </w:r>
      <w:r w:rsidR="0079655E">
        <w:t>outcome</w:t>
      </w:r>
      <w:r w:rsidR="009B25DF">
        <w:t xml:space="preserve"> of “will definitely not use it” as</w:t>
      </w:r>
      <w:r w:rsidR="0024798D">
        <w:t xml:space="preserve"> </w:t>
      </w:r>
      <w:r w:rsidR="00C1311B">
        <w:t xml:space="preserve">the most common intention of use of the different services by previous non-users, </w:t>
      </w:r>
      <w:r w:rsidR="0024798D">
        <w:t>w</w:t>
      </w:r>
      <w:r w:rsidR="00D35558">
        <w:t>ith the exception of carsharing B2C,</w:t>
      </w:r>
      <w:r w:rsidR="00C1311B">
        <w:t xml:space="preserve"> </w:t>
      </w:r>
      <w:r w:rsidR="009B25DF">
        <w:t xml:space="preserve">which </w:t>
      </w:r>
      <w:r w:rsidR="00B060DA">
        <w:t xml:space="preserve">achieved the result of indifference. </w:t>
      </w:r>
      <w:r w:rsidR="009B25DF">
        <w:t>On the other hand</w:t>
      </w:r>
      <w:r w:rsidR="00161CF2">
        <w:t>, pr</w:t>
      </w:r>
      <w:r w:rsidR="00B060DA">
        <w:t xml:space="preserve">evious users of shared services </w:t>
      </w:r>
      <w:r w:rsidR="009B25DF">
        <w:t xml:space="preserve">presented </w:t>
      </w:r>
      <w:r w:rsidR="00B060DA">
        <w:t xml:space="preserve">indifferences to most of the services except for the </w:t>
      </w:r>
      <w:r w:rsidR="00161CF2">
        <w:t>carsharing B2C</w:t>
      </w:r>
      <w:r w:rsidR="00136671">
        <w:t xml:space="preserve"> and </w:t>
      </w:r>
      <w:r w:rsidR="00BF6465">
        <w:t>ridesharing</w:t>
      </w:r>
      <w:r w:rsidR="00136671">
        <w:t xml:space="preserve">, in which the intentions of “will maybe use it” and “will probably use it” were achieved respectively.  </w:t>
      </w:r>
    </w:p>
    <w:p w:rsidR="0074642A" w:rsidRDefault="003550DD" w:rsidP="00462CCD">
      <w:pPr>
        <w:shd w:val="clear" w:color="auto" w:fill="FFFFFF"/>
        <w:jc w:val="center"/>
        <w:rPr>
          <w:sz w:val="18"/>
          <w:szCs w:val="18"/>
        </w:rPr>
      </w:pPr>
      <w:r>
        <w:rPr>
          <w:noProof/>
          <w:sz w:val="18"/>
          <w:szCs w:val="18"/>
          <w:lang w:val="es-ES" w:eastAsia="es-ES"/>
        </w:rPr>
        <w:drawing>
          <wp:inline distT="0" distB="0" distL="0" distR="0">
            <wp:extent cx="5167222" cy="3444815"/>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6003" cy="3444003"/>
                    </a:xfrm>
                    <a:prstGeom prst="rect">
                      <a:avLst/>
                    </a:prstGeom>
                    <a:noFill/>
                    <a:ln>
                      <a:noFill/>
                    </a:ln>
                  </pic:spPr>
                </pic:pic>
              </a:graphicData>
            </a:graphic>
          </wp:inline>
        </w:drawing>
      </w:r>
    </w:p>
    <w:p w:rsidR="009B2384" w:rsidRPr="00996A70" w:rsidRDefault="009B2384" w:rsidP="007D6576">
      <w:pPr>
        <w:shd w:val="clear" w:color="auto" w:fill="FFFFFF"/>
        <w:spacing w:before="40" w:after="240"/>
        <w:jc w:val="center"/>
        <w:rPr>
          <w:rFonts w:ascii="Segoe UI Semibold" w:hAnsi="Segoe UI Semibold" w:cs="Segoe UI"/>
          <w:color w:val="004D72"/>
          <w:sz w:val="26"/>
          <w:szCs w:val="26"/>
          <w:lang w:val="en-US" w:eastAsia="es-ES"/>
        </w:rPr>
      </w:pPr>
      <w:r>
        <w:rPr>
          <w:sz w:val="18"/>
          <w:szCs w:val="18"/>
        </w:rPr>
        <w:t xml:space="preserve">Figure </w:t>
      </w:r>
      <w:r w:rsidR="007421C9">
        <w:rPr>
          <w:sz w:val="18"/>
          <w:szCs w:val="18"/>
        </w:rPr>
        <w:t>5</w:t>
      </w:r>
      <w:r w:rsidRPr="00042576">
        <w:rPr>
          <w:sz w:val="18"/>
          <w:szCs w:val="18"/>
        </w:rPr>
        <w:t xml:space="preserve">. </w:t>
      </w:r>
      <w:r>
        <w:rPr>
          <w:sz w:val="18"/>
          <w:szCs w:val="18"/>
        </w:rPr>
        <w:t>Boxplot of the intended use of shared mobility services by age and previous experience</w:t>
      </w:r>
    </w:p>
    <w:p w:rsidR="007D6576" w:rsidRPr="00CE13FD" w:rsidRDefault="007D6576" w:rsidP="007D6576">
      <w:pPr>
        <w:pStyle w:val="Text"/>
      </w:pPr>
      <w:r w:rsidRPr="00CE13FD">
        <w:t xml:space="preserve">As </w:t>
      </w:r>
      <w:r>
        <w:t>represented</w:t>
      </w:r>
      <w:r w:rsidRPr="00CE13FD">
        <w:t xml:space="preserve"> in Figure </w:t>
      </w:r>
      <w:r>
        <w:t>5</w:t>
      </w:r>
      <w:r w:rsidRPr="00CE13FD">
        <w:t xml:space="preserve">, age differences were not as significant as having a previous experience with the services studied. Although in each service the </w:t>
      </w:r>
      <w:r w:rsidRPr="00CE13FD">
        <w:lastRenderedPageBreak/>
        <w:t xml:space="preserve">medians are identical for the different group ages, the boxplots indicate small variances in the tendencies, meaning that young population were more predisposed to use ridesharing, P2P carsharing and shared ride-hailing; whilst </w:t>
      </w:r>
      <w:r>
        <w:t xml:space="preserve">the tendency in </w:t>
      </w:r>
      <w:r w:rsidRPr="00CE13FD">
        <w:t>the oldest segment was to use carsharing B2C.</w:t>
      </w:r>
    </w:p>
    <w:p w:rsidR="00AE30AC" w:rsidRDefault="00AE30AC" w:rsidP="00AE30AC">
      <w:pPr>
        <w:pStyle w:val="Text"/>
      </w:pPr>
      <w:r>
        <w:t xml:space="preserve">Concerning the intention of use between genders, it was almost identical in relation to the different mobility services studied. On the </w:t>
      </w:r>
      <w:r w:rsidR="00C4245F">
        <w:t>contrary</w:t>
      </w:r>
      <w:r>
        <w:t>, the analysis by the type of daily commuting reveal</w:t>
      </w:r>
      <w:r w:rsidR="00767B41">
        <w:t>ed</w:t>
      </w:r>
      <w:r>
        <w:t xml:space="preserve"> that commuters </w:t>
      </w:r>
      <w:r w:rsidR="00767B41">
        <w:t>within Barcelona were</w:t>
      </w:r>
      <w:r>
        <w:t xml:space="preserve"> more willing to use all of these services than the other commuters, and that the group less predisposed </w:t>
      </w:r>
      <w:r w:rsidR="00767B41">
        <w:t>wer</w:t>
      </w:r>
      <w:r>
        <w:t>e the commuters from the RMB to Barcelona</w:t>
      </w:r>
      <w:r w:rsidR="00767B41">
        <w:t>.</w:t>
      </w:r>
      <w:r w:rsidR="008F7E33">
        <w:t xml:space="preserve"> </w:t>
      </w:r>
      <w:r w:rsidR="00767B41">
        <w:t xml:space="preserve">As proved in Figure </w:t>
      </w:r>
      <w:r w:rsidR="006116E2">
        <w:t>6</w:t>
      </w:r>
      <w:r w:rsidR="00767B41">
        <w:t xml:space="preserve">, where differences </w:t>
      </w:r>
      <w:r w:rsidR="003F7B65">
        <w:t xml:space="preserve">between the </w:t>
      </w:r>
      <w:r w:rsidR="00113616">
        <w:t>types</w:t>
      </w:r>
      <w:r w:rsidR="003F7B65">
        <w:t xml:space="preserve"> of commuting are not so apparent,</w:t>
      </w:r>
      <w:r w:rsidR="00794C7F">
        <w:t xml:space="preserve"> </w:t>
      </w:r>
      <w:r w:rsidR="00FA2DA0">
        <w:t>it</w:t>
      </w:r>
      <w:r w:rsidR="003F7B65">
        <w:t xml:space="preserve"> was</w:t>
      </w:r>
      <w:r w:rsidR="00794C7F">
        <w:t xml:space="preserve"> </w:t>
      </w:r>
      <w:r w:rsidR="00FA2DA0">
        <w:t xml:space="preserve">linked </w:t>
      </w:r>
      <w:r w:rsidR="00794C7F">
        <w:t>to the previous experience of users, since the 41.92% of commuters BCN-BCN and the 36.67% of commuters BCN-RMB had previously used shared mobility services</w:t>
      </w:r>
      <w:r w:rsidR="007E6A35">
        <w:t>,</w:t>
      </w:r>
      <w:r w:rsidR="00794C7F">
        <w:t xml:space="preserve"> and only the 16.15% of commuters RMB-BCN </w:t>
      </w:r>
      <w:r w:rsidR="007E6A35">
        <w:t xml:space="preserve">had this experience. </w:t>
      </w:r>
    </w:p>
    <w:p w:rsidR="007075D2" w:rsidRDefault="00113616" w:rsidP="00043DB1">
      <w:pPr>
        <w:pStyle w:val="Text"/>
        <w:spacing w:after="0"/>
        <w:rPr>
          <w:lang w:val="en-US"/>
        </w:rPr>
      </w:pPr>
      <w:r>
        <w:rPr>
          <w:noProof/>
          <w:lang w:val="es-ES" w:eastAsia="es-ES"/>
        </w:rPr>
        <w:drawing>
          <wp:inline distT="0" distB="0" distL="0" distR="0">
            <wp:extent cx="5271448" cy="3364174"/>
            <wp:effectExtent l="0" t="0" r="5715"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4271"/>
                    <a:stretch/>
                  </pic:blipFill>
                  <pic:spPr bwMode="auto">
                    <a:xfrm>
                      <a:off x="0" y="0"/>
                      <a:ext cx="5278120" cy="3368432"/>
                    </a:xfrm>
                    <a:prstGeom prst="rect">
                      <a:avLst/>
                    </a:prstGeom>
                    <a:noFill/>
                    <a:ln>
                      <a:noFill/>
                    </a:ln>
                    <a:extLst>
                      <a:ext uri="{53640926-AAD7-44D8-BBD7-CCE9431645EC}">
                        <a14:shadowObscured xmlns:a14="http://schemas.microsoft.com/office/drawing/2010/main"/>
                      </a:ext>
                    </a:extLst>
                  </pic:spPr>
                </pic:pic>
              </a:graphicData>
            </a:graphic>
          </wp:inline>
        </w:drawing>
      </w:r>
    </w:p>
    <w:p w:rsidR="002A18E0" w:rsidRPr="00996A70" w:rsidRDefault="002A18E0" w:rsidP="004E042B">
      <w:pPr>
        <w:shd w:val="clear" w:color="auto" w:fill="FFFFFF"/>
        <w:spacing w:after="240"/>
        <w:jc w:val="center"/>
        <w:rPr>
          <w:rFonts w:ascii="Segoe UI Semibold" w:hAnsi="Segoe UI Semibold" w:cs="Segoe UI"/>
          <w:color w:val="004D72"/>
          <w:sz w:val="26"/>
          <w:szCs w:val="26"/>
          <w:lang w:val="en-US" w:eastAsia="es-ES"/>
        </w:rPr>
      </w:pPr>
      <w:r>
        <w:rPr>
          <w:sz w:val="18"/>
          <w:szCs w:val="18"/>
        </w:rPr>
        <w:t xml:space="preserve">Figure </w:t>
      </w:r>
      <w:r w:rsidR="00043DB1">
        <w:rPr>
          <w:sz w:val="18"/>
          <w:szCs w:val="18"/>
        </w:rPr>
        <w:t>6</w:t>
      </w:r>
      <w:r w:rsidRPr="00042576">
        <w:rPr>
          <w:sz w:val="18"/>
          <w:szCs w:val="18"/>
        </w:rPr>
        <w:t xml:space="preserve">. </w:t>
      </w:r>
      <w:r>
        <w:rPr>
          <w:sz w:val="18"/>
          <w:szCs w:val="18"/>
        </w:rPr>
        <w:t>Boxplot of the intended use of shared mobility services by commuting type</w:t>
      </w:r>
      <w:r w:rsidR="007B4D30">
        <w:rPr>
          <w:sz w:val="18"/>
          <w:szCs w:val="18"/>
        </w:rPr>
        <w:t xml:space="preserve"> and previous experience </w:t>
      </w:r>
    </w:p>
    <w:p w:rsidR="00A149F1" w:rsidRPr="00877FA3" w:rsidRDefault="0050415A" w:rsidP="009569CC">
      <w:pPr>
        <w:pStyle w:val="Text"/>
        <w:rPr>
          <w:lang w:val="en-US"/>
        </w:rPr>
      </w:pPr>
      <w:r>
        <w:rPr>
          <w:lang w:val="en-US"/>
        </w:rPr>
        <w:t xml:space="preserve">Anticipating the possibility of a widespread </w:t>
      </w:r>
      <w:r w:rsidR="00B2296C">
        <w:rPr>
          <w:lang w:val="en-US"/>
        </w:rPr>
        <w:t>disregard and lack of knowledge,</w:t>
      </w:r>
      <w:r>
        <w:rPr>
          <w:lang w:val="en-US"/>
        </w:rPr>
        <w:t xml:space="preserve"> </w:t>
      </w:r>
      <w:r w:rsidR="00B2296C">
        <w:rPr>
          <w:lang w:val="en-US"/>
        </w:rPr>
        <w:t>a</w:t>
      </w:r>
      <w:r w:rsidR="00B2296C" w:rsidRPr="00877FA3">
        <w:rPr>
          <w:lang w:val="en-US"/>
        </w:rPr>
        <w:t xml:space="preserve"> </w:t>
      </w:r>
      <w:r w:rsidR="00B2296C">
        <w:rPr>
          <w:lang w:val="en-US"/>
        </w:rPr>
        <w:t>separate</w:t>
      </w:r>
      <w:r w:rsidR="00B2296C" w:rsidRPr="00877FA3">
        <w:rPr>
          <w:lang w:val="en-US"/>
        </w:rPr>
        <w:t xml:space="preserve"> </w:t>
      </w:r>
      <w:r w:rsidR="00877FA3" w:rsidRPr="00877FA3">
        <w:rPr>
          <w:lang w:val="en-US"/>
        </w:rPr>
        <w:t xml:space="preserve">analysis </w:t>
      </w:r>
      <w:r w:rsidR="00B2296C">
        <w:rPr>
          <w:lang w:val="en-US"/>
        </w:rPr>
        <w:t>of each</w:t>
      </w:r>
      <w:r w:rsidR="00877FA3" w:rsidRPr="00877FA3">
        <w:rPr>
          <w:lang w:val="en-US"/>
        </w:rPr>
        <w:t xml:space="preserve"> mobility service</w:t>
      </w:r>
      <w:r w:rsidR="00B2296C">
        <w:rPr>
          <w:lang w:val="en-US"/>
        </w:rPr>
        <w:t xml:space="preserve"> was conducted.</w:t>
      </w:r>
    </w:p>
    <w:p w:rsidR="009569CC" w:rsidRPr="00A149F1" w:rsidRDefault="00BF6465" w:rsidP="009569CC">
      <w:pPr>
        <w:pStyle w:val="Text"/>
        <w:rPr>
          <w:b/>
          <w:lang w:val="en-US"/>
        </w:rPr>
      </w:pPr>
      <w:r>
        <w:rPr>
          <w:b/>
          <w:lang w:val="en-US"/>
        </w:rPr>
        <w:t>Ridesharing</w:t>
      </w:r>
    </w:p>
    <w:p w:rsidR="009569CC" w:rsidRDefault="009569CC" w:rsidP="009569CC">
      <w:pPr>
        <w:pStyle w:val="Text"/>
        <w:rPr>
          <w:lang w:val="en-US"/>
        </w:rPr>
      </w:pPr>
      <w:r>
        <w:rPr>
          <w:lang w:val="en-US"/>
        </w:rPr>
        <w:t xml:space="preserve">One-fifth of respondents (19.10%) would use a </w:t>
      </w:r>
      <w:r w:rsidR="00BF6465">
        <w:rPr>
          <w:lang w:val="en-US"/>
        </w:rPr>
        <w:t>ridesharing</w:t>
      </w:r>
      <w:r>
        <w:rPr>
          <w:lang w:val="en-US"/>
        </w:rPr>
        <w:t xml:space="preserve"> service for long distance journeys (more than 150km) if the cost of the travel was half or less </w:t>
      </w:r>
      <w:r>
        <w:rPr>
          <w:lang w:val="en-US"/>
        </w:rPr>
        <w:lastRenderedPageBreak/>
        <w:t xml:space="preserve">than travelling by train or by private car. </w:t>
      </w:r>
      <w:r w:rsidR="00A856FA">
        <w:rPr>
          <w:lang w:val="en-US"/>
        </w:rPr>
        <w:t xml:space="preserve">To the question </w:t>
      </w:r>
      <w:r w:rsidR="00A856FA" w:rsidRPr="00A856FA">
        <w:rPr>
          <w:lang w:val="en-US"/>
        </w:rPr>
        <w:t>“Which of the following options would you use for long distance trips (more than 150 km): High speed train (30€) - Regional train (21€) - Private car (28€) - Ridesharing (11€)”</w:t>
      </w:r>
      <w:r w:rsidR="00A856FA">
        <w:rPr>
          <w:lang w:val="en-US"/>
        </w:rPr>
        <w:t xml:space="preserve">, </w:t>
      </w:r>
      <w:r>
        <w:rPr>
          <w:lang w:val="en-US"/>
        </w:rPr>
        <w:t>the preferred options were</w:t>
      </w:r>
      <w:r w:rsidR="00A856FA">
        <w:rPr>
          <w:lang w:val="en-US"/>
        </w:rPr>
        <w:t>, in general,</w:t>
      </w:r>
      <w:r>
        <w:rPr>
          <w:lang w:val="en-US"/>
        </w:rPr>
        <w:t xml:space="preserve"> travelling by high speed train (37.38%) and by private car (27.57%), and the least chosen option was using the regional train (15.95%). However, the intended use of </w:t>
      </w:r>
      <w:r w:rsidR="00BF6465">
        <w:rPr>
          <w:lang w:val="en-US"/>
        </w:rPr>
        <w:t>ridesharing</w:t>
      </w:r>
      <w:r>
        <w:rPr>
          <w:lang w:val="en-US"/>
        </w:rPr>
        <w:t xml:space="preserve"> by already users of sharing services was 8.34% greater than of non-users, preferring this service than going by car (24.63% versus 21.63%). </w:t>
      </w:r>
      <w:r w:rsidR="00EC4844">
        <w:rPr>
          <w:lang w:val="en-US"/>
        </w:rPr>
        <w:t>Surprisingly</w:t>
      </w:r>
      <w:r w:rsidR="00B73A61">
        <w:rPr>
          <w:lang w:val="en-US"/>
        </w:rPr>
        <w:t>, the</w:t>
      </w:r>
      <w:r w:rsidR="00E01760">
        <w:rPr>
          <w:lang w:val="en-US"/>
        </w:rPr>
        <w:t xml:space="preserve"> age group </w:t>
      </w:r>
      <w:r w:rsidR="00B73A61">
        <w:rPr>
          <w:lang w:val="en-US"/>
        </w:rPr>
        <w:t xml:space="preserve">more willing to use ridesharing </w:t>
      </w:r>
      <w:r w:rsidR="00E01760">
        <w:rPr>
          <w:lang w:val="en-US"/>
        </w:rPr>
        <w:t xml:space="preserve">was the oldest, as shown in Figure </w:t>
      </w:r>
      <w:r w:rsidR="005346B4">
        <w:rPr>
          <w:lang w:val="en-US"/>
        </w:rPr>
        <w:t>7</w:t>
      </w:r>
      <w:r w:rsidR="00973184">
        <w:rPr>
          <w:lang w:val="en-US"/>
        </w:rPr>
        <w:t xml:space="preserve">; </w:t>
      </w:r>
      <w:r w:rsidR="000C2A9B">
        <w:rPr>
          <w:lang w:val="en-US"/>
        </w:rPr>
        <w:t>whereas</w:t>
      </w:r>
      <w:r w:rsidR="00973184">
        <w:rPr>
          <w:lang w:val="en-US"/>
        </w:rPr>
        <w:t xml:space="preserve"> t</w:t>
      </w:r>
      <w:r w:rsidR="00E01760">
        <w:rPr>
          <w:lang w:val="en-US"/>
        </w:rPr>
        <w:t xml:space="preserve">he youngest </w:t>
      </w:r>
      <w:r w:rsidR="00973184">
        <w:rPr>
          <w:lang w:val="en-US"/>
        </w:rPr>
        <w:t>would</w:t>
      </w:r>
      <w:r w:rsidR="00E01760">
        <w:rPr>
          <w:lang w:val="en-US"/>
        </w:rPr>
        <w:t xml:space="preserve"> use more the regional train and much less the private car.</w:t>
      </w:r>
      <w:r w:rsidR="00973184">
        <w:rPr>
          <w:lang w:val="en-US"/>
        </w:rPr>
        <w:t xml:space="preserve"> </w:t>
      </w:r>
      <w:r>
        <w:rPr>
          <w:lang w:val="en-US"/>
        </w:rPr>
        <w:t xml:space="preserve">Furthermore, before choosing a </w:t>
      </w:r>
      <w:r w:rsidR="00BF6465">
        <w:rPr>
          <w:lang w:val="en-US"/>
        </w:rPr>
        <w:t>ridesharing</w:t>
      </w:r>
      <w:r>
        <w:rPr>
          <w:lang w:val="en-US"/>
        </w:rPr>
        <w:t xml:space="preserve"> service, the opinion of other users referred to the respective driver would be taken into account by the 63% of interviewees. </w:t>
      </w:r>
    </w:p>
    <w:p w:rsidR="00A87928" w:rsidRDefault="00211AE9" w:rsidP="005346B4">
      <w:pPr>
        <w:pStyle w:val="Text"/>
        <w:spacing w:after="0"/>
        <w:jc w:val="left"/>
        <w:rPr>
          <w:lang w:val="en-US"/>
        </w:rPr>
      </w:pPr>
      <w:r>
        <w:rPr>
          <w:noProof/>
          <w:lang w:val="es-ES" w:eastAsia="es-ES"/>
        </w:rPr>
        <w:drawing>
          <wp:inline distT="0" distB="0" distL="0" distR="0">
            <wp:extent cx="5274860" cy="3240000"/>
            <wp:effectExtent l="0" t="0" r="21590" b="1778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7928" w:rsidRDefault="003103BF" w:rsidP="004E042B">
      <w:pPr>
        <w:shd w:val="clear" w:color="auto" w:fill="FFFFFF"/>
        <w:spacing w:after="240"/>
        <w:jc w:val="center"/>
        <w:rPr>
          <w:lang w:val="en-US"/>
        </w:rPr>
      </w:pPr>
      <w:r>
        <w:rPr>
          <w:sz w:val="18"/>
          <w:szCs w:val="18"/>
        </w:rPr>
        <w:t xml:space="preserve">Figure </w:t>
      </w:r>
      <w:r w:rsidR="00905348">
        <w:rPr>
          <w:sz w:val="18"/>
          <w:szCs w:val="18"/>
        </w:rPr>
        <w:t>7</w:t>
      </w:r>
      <w:r w:rsidRPr="00042576">
        <w:rPr>
          <w:sz w:val="18"/>
          <w:szCs w:val="18"/>
        </w:rPr>
        <w:t>.</w:t>
      </w:r>
      <w:r>
        <w:rPr>
          <w:sz w:val="18"/>
          <w:szCs w:val="18"/>
        </w:rPr>
        <w:t xml:space="preserve"> </w:t>
      </w:r>
      <w:r w:rsidR="00E970CF">
        <w:rPr>
          <w:sz w:val="18"/>
          <w:szCs w:val="18"/>
        </w:rPr>
        <w:t xml:space="preserve"> Intended use of Ridesharing by age compared to other means of transport</w:t>
      </w:r>
    </w:p>
    <w:p w:rsidR="009569CC" w:rsidRPr="00A149F1" w:rsidRDefault="009569CC" w:rsidP="009569CC">
      <w:pPr>
        <w:pStyle w:val="Text"/>
        <w:rPr>
          <w:b/>
          <w:lang w:val="en-US"/>
        </w:rPr>
      </w:pPr>
      <w:r w:rsidRPr="00A149F1">
        <w:rPr>
          <w:b/>
          <w:lang w:val="en-US"/>
        </w:rPr>
        <w:t xml:space="preserve">Carsharing </w:t>
      </w:r>
    </w:p>
    <w:p w:rsidR="00816F6D" w:rsidRDefault="009569CC" w:rsidP="009569CC">
      <w:pPr>
        <w:pStyle w:val="Text"/>
        <w:rPr>
          <w:lang w:val="en-US"/>
        </w:rPr>
      </w:pPr>
      <w:r>
        <w:rPr>
          <w:lang w:val="en-US"/>
        </w:rPr>
        <w:t xml:space="preserve">Two-fifth of respondents (39.7%) would use a carsharing service for one day </w:t>
      </w:r>
      <w:r w:rsidR="00EC4844">
        <w:rPr>
          <w:lang w:val="en-US"/>
        </w:rPr>
        <w:t xml:space="preserve">trip </w:t>
      </w:r>
      <w:r>
        <w:rPr>
          <w:lang w:val="en-US"/>
        </w:rPr>
        <w:t>out of the city if they didn’t have their own</w:t>
      </w:r>
      <w:r w:rsidR="00EC4844">
        <w:rPr>
          <w:lang w:val="en-US"/>
        </w:rPr>
        <w:t xml:space="preserve"> car</w:t>
      </w:r>
      <w:r>
        <w:rPr>
          <w:lang w:val="en-US"/>
        </w:rPr>
        <w:t xml:space="preserve">, preferring a B2C service than a P2P. </w:t>
      </w:r>
      <w:r w:rsidR="00BB752A">
        <w:rPr>
          <w:lang w:val="en-US"/>
        </w:rPr>
        <w:t xml:space="preserve">These results </w:t>
      </w:r>
      <w:r w:rsidR="00CD6563">
        <w:rPr>
          <w:lang w:val="en-US"/>
        </w:rPr>
        <w:t>come</w:t>
      </w:r>
      <w:r w:rsidR="00BB752A">
        <w:rPr>
          <w:lang w:val="en-US"/>
        </w:rPr>
        <w:t xml:space="preserve"> from the question </w:t>
      </w:r>
      <w:r w:rsidR="00BB752A" w:rsidRPr="00BB752A">
        <w:rPr>
          <w:lang w:val="en-US"/>
        </w:rPr>
        <w:t>“In case of not disposing of a car, which of the following options would you find more appropriate for a short day trip out of town (100 km, round trip)? Public transport network - Taxi (130€) - Carsharing B2C (2.5€/h) - Carsharing P2P (38€) - Ridesharing (20€)</w:t>
      </w:r>
      <w:r w:rsidR="00BB752A">
        <w:rPr>
          <w:lang w:val="en-US"/>
        </w:rPr>
        <w:t xml:space="preserve">”. </w:t>
      </w:r>
      <w:r w:rsidR="00653487">
        <w:rPr>
          <w:lang w:val="en-US"/>
        </w:rPr>
        <w:t xml:space="preserve">Age analysis reveals that </w:t>
      </w:r>
      <w:r w:rsidR="008B0D70">
        <w:rPr>
          <w:lang w:val="en-US"/>
        </w:rPr>
        <w:t>the</w:t>
      </w:r>
      <w:r w:rsidR="00D0421E">
        <w:rPr>
          <w:lang w:val="en-US"/>
        </w:rPr>
        <w:t xml:space="preserve"> </w:t>
      </w:r>
      <w:r w:rsidR="008167A4">
        <w:rPr>
          <w:lang w:val="en-US"/>
        </w:rPr>
        <w:t>population</w:t>
      </w:r>
      <w:r w:rsidR="00D0421E">
        <w:rPr>
          <w:lang w:val="en-US"/>
        </w:rPr>
        <w:t xml:space="preserve"> aged 30</w:t>
      </w:r>
      <w:r w:rsidR="007B739B">
        <w:rPr>
          <w:lang w:val="en-US"/>
        </w:rPr>
        <w:t>-to-45</w:t>
      </w:r>
      <w:r w:rsidR="008167A4">
        <w:rPr>
          <w:lang w:val="en-US"/>
        </w:rPr>
        <w:t xml:space="preserve"> and </w:t>
      </w:r>
      <w:r w:rsidR="007B739B">
        <w:rPr>
          <w:lang w:val="en-US"/>
        </w:rPr>
        <w:t>46-to-</w:t>
      </w:r>
      <w:r w:rsidR="008167A4">
        <w:rPr>
          <w:lang w:val="en-US"/>
        </w:rPr>
        <w:t>5</w:t>
      </w:r>
      <w:r w:rsidR="00D0421E">
        <w:rPr>
          <w:lang w:val="en-US"/>
        </w:rPr>
        <w:t>5</w:t>
      </w:r>
      <w:r w:rsidR="008167A4">
        <w:rPr>
          <w:lang w:val="en-US"/>
        </w:rPr>
        <w:t xml:space="preserve"> </w:t>
      </w:r>
      <w:r w:rsidR="007B739B">
        <w:rPr>
          <w:lang w:val="en-US"/>
        </w:rPr>
        <w:t xml:space="preserve">preferred </w:t>
      </w:r>
      <w:r w:rsidR="007B739B">
        <w:rPr>
          <w:lang w:val="en-US"/>
        </w:rPr>
        <w:lastRenderedPageBreak/>
        <w:t>carsharing</w:t>
      </w:r>
      <w:r w:rsidR="00A86234">
        <w:rPr>
          <w:lang w:val="en-US"/>
        </w:rPr>
        <w:t>,</w:t>
      </w:r>
      <w:r w:rsidR="007B739B">
        <w:rPr>
          <w:lang w:val="en-US"/>
        </w:rPr>
        <w:t xml:space="preserve"> 19</w:t>
      </w:r>
      <w:r w:rsidR="0010436A">
        <w:rPr>
          <w:lang w:val="en-US"/>
        </w:rPr>
        <w:t>%</w:t>
      </w:r>
      <w:r w:rsidR="007B739B">
        <w:rPr>
          <w:lang w:val="en-US"/>
        </w:rPr>
        <w:t xml:space="preserve"> and 15% </w:t>
      </w:r>
      <w:r w:rsidR="00A86234">
        <w:rPr>
          <w:lang w:val="en-US"/>
        </w:rPr>
        <w:t>respectively more,</w:t>
      </w:r>
      <w:r w:rsidR="0010436A">
        <w:rPr>
          <w:lang w:val="en-US"/>
        </w:rPr>
        <w:t xml:space="preserve"> than the aged between 18 and 29</w:t>
      </w:r>
      <w:r w:rsidR="00815232">
        <w:rPr>
          <w:lang w:val="en-US"/>
        </w:rPr>
        <w:t xml:space="preserve"> (Figure </w:t>
      </w:r>
      <w:r w:rsidR="005346B4">
        <w:rPr>
          <w:lang w:val="en-US"/>
        </w:rPr>
        <w:t>8</w:t>
      </w:r>
      <w:r w:rsidR="00815232">
        <w:rPr>
          <w:lang w:val="en-US"/>
        </w:rPr>
        <w:t>)</w:t>
      </w:r>
      <w:r w:rsidR="0010436A">
        <w:rPr>
          <w:lang w:val="en-US"/>
        </w:rPr>
        <w:t>.</w:t>
      </w:r>
      <w:r w:rsidR="00A86234">
        <w:rPr>
          <w:lang w:val="en-US"/>
        </w:rPr>
        <w:t xml:space="preserve"> I</w:t>
      </w:r>
      <w:r w:rsidR="0050487C">
        <w:rPr>
          <w:lang w:val="en-US"/>
        </w:rPr>
        <w:t>n</w:t>
      </w:r>
      <w:r w:rsidR="00A86234">
        <w:rPr>
          <w:lang w:val="en-US"/>
        </w:rPr>
        <w:t xml:space="preserve"> this case, the youngest group would rather use</w:t>
      </w:r>
      <w:r w:rsidR="0050487C">
        <w:rPr>
          <w:lang w:val="en-US"/>
        </w:rPr>
        <w:t xml:space="preserve"> up to 18% more </w:t>
      </w:r>
      <w:r w:rsidR="00815232">
        <w:rPr>
          <w:lang w:val="en-US"/>
        </w:rPr>
        <w:t>any public transport</w:t>
      </w:r>
      <w:r w:rsidR="0050487C">
        <w:rPr>
          <w:lang w:val="en-US"/>
        </w:rPr>
        <w:t xml:space="preserve"> than the population aged 30-55. </w:t>
      </w:r>
    </w:p>
    <w:p w:rsidR="00413779" w:rsidRDefault="00413779" w:rsidP="009569CC">
      <w:pPr>
        <w:pStyle w:val="Text"/>
        <w:rPr>
          <w:lang w:val="en-US"/>
        </w:rPr>
      </w:pPr>
      <w:r>
        <w:rPr>
          <w:lang w:val="en-US"/>
        </w:rPr>
        <w:t xml:space="preserve">When asked about their preferences regarding point-to-point or round trip carsharing, the 50.83% marked the round trip option, whilst the 42.03% liked both options and only the 7.14% voted for the point-to-point. Besides, only one-fifth of respondents (19.77%) would rent their own vehicles, but again this proportion changes depending on the previous knowledge, increasing up to the 37% if respondents already had a </w:t>
      </w:r>
      <w:r w:rsidR="00EC4844">
        <w:rPr>
          <w:lang w:val="en-US"/>
        </w:rPr>
        <w:t xml:space="preserve">prior </w:t>
      </w:r>
      <w:r>
        <w:rPr>
          <w:lang w:val="en-US"/>
        </w:rPr>
        <w:t xml:space="preserve">experience of using any shared mobility service.    </w:t>
      </w:r>
    </w:p>
    <w:p w:rsidR="00413779" w:rsidRDefault="009925A9" w:rsidP="000511B3">
      <w:pPr>
        <w:pStyle w:val="Text"/>
        <w:jc w:val="center"/>
        <w:rPr>
          <w:lang w:val="en-US"/>
        </w:rPr>
      </w:pPr>
      <w:r>
        <w:rPr>
          <w:noProof/>
          <w:lang w:val="es-ES" w:eastAsia="es-ES"/>
        </w:rPr>
        <w:drawing>
          <wp:inline distT="0" distB="0" distL="0" distR="0">
            <wp:extent cx="5339751" cy="3821502"/>
            <wp:effectExtent l="0" t="0" r="13335" b="2667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50487C">
        <w:rPr>
          <w:lang w:val="en-US"/>
        </w:rPr>
        <w:t xml:space="preserve"> </w:t>
      </w:r>
      <w:r w:rsidR="0010436A">
        <w:rPr>
          <w:lang w:val="en-US"/>
        </w:rPr>
        <w:t xml:space="preserve">  </w:t>
      </w:r>
      <w:r w:rsidR="008167A4">
        <w:rPr>
          <w:lang w:val="en-US"/>
        </w:rPr>
        <w:t xml:space="preserve"> </w:t>
      </w:r>
      <w:r w:rsidR="00D0421E">
        <w:rPr>
          <w:lang w:val="en-US"/>
        </w:rPr>
        <w:t xml:space="preserve"> </w:t>
      </w:r>
      <w:r w:rsidR="00B027C7">
        <w:rPr>
          <w:lang w:val="en-US"/>
        </w:rPr>
        <w:t xml:space="preserve"> </w:t>
      </w:r>
      <w:r w:rsidR="008B0D70">
        <w:rPr>
          <w:lang w:val="en-US"/>
        </w:rPr>
        <w:t xml:space="preserve">  </w:t>
      </w:r>
      <w:r w:rsidR="003B307C">
        <w:rPr>
          <w:lang w:val="en-US"/>
        </w:rPr>
        <w:t xml:space="preserve"> </w:t>
      </w:r>
      <w:r w:rsidR="00413779">
        <w:rPr>
          <w:sz w:val="18"/>
          <w:szCs w:val="18"/>
        </w:rPr>
        <w:t xml:space="preserve">Figure </w:t>
      </w:r>
      <w:r w:rsidR="00AE7276">
        <w:rPr>
          <w:sz w:val="18"/>
          <w:szCs w:val="18"/>
        </w:rPr>
        <w:t>8</w:t>
      </w:r>
      <w:r w:rsidR="00413779" w:rsidRPr="00042576">
        <w:rPr>
          <w:sz w:val="18"/>
          <w:szCs w:val="18"/>
        </w:rPr>
        <w:t>.</w:t>
      </w:r>
      <w:r w:rsidR="00413779">
        <w:rPr>
          <w:sz w:val="18"/>
          <w:szCs w:val="18"/>
        </w:rPr>
        <w:t xml:space="preserve"> </w:t>
      </w:r>
      <w:r w:rsidR="00CD6563">
        <w:rPr>
          <w:sz w:val="18"/>
          <w:szCs w:val="18"/>
        </w:rPr>
        <w:t>Intended use of Carsharing by age compared to other means of transport</w:t>
      </w:r>
    </w:p>
    <w:p w:rsidR="009569CC" w:rsidRPr="00A149F1" w:rsidRDefault="009569CC" w:rsidP="009569CC">
      <w:pPr>
        <w:pStyle w:val="Text"/>
        <w:rPr>
          <w:b/>
          <w:lang w:val="en-US"/>
        </w:rPr>
      </w:pPr>
      <w:r w:rsidRPr="00A149F1">
        <w:rPr>
          <w:b/>
          <w:lang w:val="en-US"/>
        </w:rPr>
        <w:t>Ride-hailing</w:t>
      </w:r>
    </w:p>
    <w:p w:rsidR="00C11D2C" w:rsidRDefault="009B2CDE" w:rsidP="009569CC">
      <w:pPr>
        <w:pStyle w:val="Text"/>
        <w:rPr>
          <w:lang w:val="en-US"/>
        </w:rPr>
      </w:pPr>
      <w:r>
        <w:rPr>
          <w:lang w:val="en-US"/>
        </w:rPr>
        <w:t>On average, t</w:t>
      </w:r>
      <w:r w:rsidRPr="002554DE">
        <w:rPr>
          <w:lang w:val="en-US"/>
        </w:rPr>
        <w:t xml:space="preserve">aking </w:t>
      </w:r>
      <w:r w:rsidR="009569CC" w:rsidRPr="002554DE">
        <w:rPr>
          <w:lang w:val="en-US"/>
        </w:rPr>
        <w:t xml:space="preserve">a taxi was preferred over singular </w:t>
      </w:r>
      <w:r w:rsidR="00C961BD" w:rsidRPr="002554DE">
        <w:rPr>
          <w:lang w:val="en-US"/>
        </w:rPr>
        <w:t xml:space="preserve">or </w:t>
      </w:r>
      <w:r w:rsidR="009569CC" w:rsidRPr="002554DE">
        <w:rPr>
          <w:lang w:val="en-US"/>
        </w:rPr>
        <w:t>shared ride-hailing for travelling small distances within the city</w:t>
      </w:r>
      <w:r w:rsidR="009D265E" w:rsidRPr="002554DE">
        <w:rPr>
          <w:lang w:val="en-US"/>
        </w:rPr>
        <w:t xml:space="preserve"> (31.40% versus 8.97% and 28.07% respectively),</w:t>
      </w:r>
      <w:r w:rsidR="009569CC" w:rsidRPr="002554DE">
        <w:rPr>
          <w:lang w:val="en-US"/>
        </w:rPr>
        <w:t xml:space="preserve"> </w:t>
      </w:r>
      <w:r w:rsidR="00C961BD" w:rsidRPr="002554DE">
        <w:rPr>
          <w:lang w:val="en-US"/>
        </w:rPr>
        <w:t xml:space="preserve">when neither the </w:t>
      </w:r>
      <w:r w:rsidR="009569CC" w:rsidRPr="002554DE">
        <w:rPr>
          <w:lang w:val="en-US"/>
        </w:rPr>
        <w:t>public transport</w:t>
      </w:r>
      <w:r w:rsidR="00C961BD" w:rsidRPr="002554DE">
        <w:rPr>
          <w:lang w:val="en-US"/>
        </w:rPr>
        <w:t xml:space="preserve"> nor the private car</w:t>
      </w:r>
      <w:r w:rsidR="009569CC" w:rsidRPr="002554DE">
        <w:rPr>
          <w:lang w:val="en-US"/>
        </w:rPr>
        <w:t xml:space="preserve"> </w:t>
      </w:r>
      <w:r>
        <w:rPr>
          <w:lang w:val="en-US"/>
        </w:rPr>
        <w:t>were</w:t>
      </w:r>
      <w:r w:rsidRPr="002554DE">
        <w:rPr>
          <w:lang w:val="en-US"/>
        </w:rPr>
        <w:t xml:space="preserve"> </w:t>
      </w:r>
      <w:r w:rsidR="00C961BD" w:rsidRPr="002554DE">
        <w:rPr>
          <w:lang w:val="en-US"/>
        </w:rPr>
        <w:t xml:space="preserve">considered. However, </w:t>
      </w:r>
      <w:r w:rsidR="009D265E" w:rsidRPr="002554DE">
        <w:rPr>
          <w:lang w:val="en-US"/>
        </w:rPr>
        <w:t xml:space="preserve">in this scenario, </w:t>
      </w:r>
      <w:r w:rsidR="00C961BD" w:rsidRPr="002554DE">
        <w:rPr>
          <w:lang w:val="en-US"/>
        </w:rPr>
        <w:t xml:space="preserve">31.56% of respondents would </w:t>
      </w:r>
      <w:r w:rsidR="009D265E" w:rsidRPr="002554DE">
        <w:rPr>
          <w:lang w:val="en-US"/>
        </w:rPr>
        <w:t>use carsharing. Conversely, the top choice of the youngest</w:t>
      </w:r>
      <w:r w:rsidR="005A2B6F" w:rsidRPr="002554DE">
        <w:rPr>
          <w:lang w:val="en-US"/>
        </w:rPr>
        <w:t xml:space="preserve"> was</w:t>
      </w:r>
      <w:r w:rsidR="009D265E" w:rsidRPr="002554DE">
        <w:rPr>
          <w:lang w:val="en-US"/>
        </w:rPr>
        <w:t xml:space="preserve"> shared ride-hailing, with a rate of 34.16%</w:t>
      </w:r>
      <w:r w:rsidR="00C11D2C">
        <w:rPr>
          <w:lang w:val="en-US"/>
        </w:rPr>
        <w:t xml:space="preserve">, as reflected in Figure </w:t>
      </w:r>
      <w:r w:rsidR="00D804ED">
        <w:rPr>
          <w:lang w:val="en-US"/>
        </w:rPr>
        <w:t>9</w:t>
      </w:r>
      <w:r w:rsidR="009D265E" w:rsidRPr="002554DE">
        <w:rPr>
          <w:lang w:val="en-US"/>
        </w:rPr>
        <w:t>.</w:t>
      </w:r>
      <w:r w:rsidR="000921D8">
        <w:rPr>
          <w:lang w:val="en-US"/>
        </w:rPr>
        <w:t xml:space="preserve"> Figure </w:t>
      </w:r>
      <w:r w:rsidR="00D804ED">
        <w:rPr>
          <w:lang w:val="en-US"/>
        </w:rPr>
        <w:t>9</w:t>
      </w:r>
      <w:r w:rsidR="000921D8">
        <w:rPr>
          <w:lang w:val="en-US"/>
        </w:rPr>
        <w:t xml:space="preserve"> classifies by age the r</w:t>
      </w:r>
      <w:r w:rsidR="000921D8" w:rsidRPr="000921D8">
        <w:rPr>
          <w:lang w:val="en-US"/>
        </w:rPr>
        <w:t xml:space="preserve">esponses to </w:t>
      </w:r>
      <w:r w:rsidR="000921D8">
        <w:rPr>
          <w:lang w:val="en-US"/>
        </w:rPr>
        <w:t xml:space="preserve">the following question </w:t>
      </w:r>
      <w:r w:rsidR="000921D8" w:rsidRPr="000921D8">
        <w:rPr>
          <w:lang w:val="en-US"/>
        </w:rPr>
        <w:t xml:space="preserve">“In case of not disposing of a car, </w:t>
      </w:r>
      <w:r w:rsidR="000921D8" w:rsidRPr="000921D8">
        <w:rPr>
          <w:lang w:val="en-US"/>
        </w:rPr>
        <w:lastRenderedPageBreak/>
        <w:t>and considering that the point of origin and destination do not have a good connection with the underground or the bus, which of the following options would you use for a trip of 10 km within the city? Taxi (15€) - Singular ride-hailing (13€) - Shared ride-hailing (5€) – Carsharing (2.5€/h)</w:t>
      </w:r>
      <w:r w:rsidR="000921D8">
        <w:rPr>
          <w:lang w:val="en-US"/>
        </w:rPr>
        <w:t>.</w:t>
      </w:r>
    </w:p>
    <w:p w:rsidR="00306C33" w:rsidRDefault="00306C33" w:rsidP="00306C33">
      <w:pPr>
        <w:pStyle w:val="Text"/>
        <w:rPr>
          <w:lang w:val="en-US"/>
        </w:rPr>
      </w:pPr>
      <w:r w:rsidRPr="002554DE">
        <w:rPr>
          <w:lang w:val="en-US"/>
        </w:rPr>
        <w:t>All age groups agreed that for distances over 10-20 km shared ride-hailing was better than the taxi, singular ride-hailing or carsharing.</w:t>
      </w:r>
      <w:r>
        <w:rPr>
          <w:lang w:val="en-US"/>
        </w:rPr>
        <w:t xml:space="preserve"> </w:t>
      </w:r>
      <w:r w:rsidR="00DB504F">
        <w:rPr>
          <w:lang w:val="en-US"/>
        </w:rPr>
        <w:t xml:space="preserve">In addition </w:t>
      </w:r>
      <w:r>
        <w:rPr>
          <w:lang w:val="en-US"/>
        </w:rPr>
        <w:t xml:space="preserve">the youngest </w:t>
      </w:r>
      <w:r w:rsidR="00DB504F">
        <w:rPr>
          <w:lang w:val="en-US"/>
        </w:rPr>
        <w:t>would not mind</w:t>
      </w:r>
      <w:r>
        <w:rPr>
          <w:lang w:val="en-US"/>
        </w:rPr>
        <w:t xml:space="preserve"> to walk up to 6 minutes to the pickup point</w:t>
      </w:r>
      <w:r w:rsidR="00DB504F">
        <w:rPr>
          <w:lang w:val="en-US"/>
        </w:rPr>
        <w:t>, but the other age segments preferred a door to door service.</w:t>
      </w:r>
    </w:p>
    <w:p w:rsidR="0045129E" w:rsidRDefault="00815232" w:rsidP="000511B3">
      <w:pPr>
        <w:pStyle w:val="Text"/>
        <w:jc w:val="center"/>
        <w:rPr>
          <w:lang w:val="en-US"/>
        </w:rPr>
      </w:pPr>
      <w:r>
        <w:rPr>
          <w:noProof/>
          <w:lang w:val="es-ES" w:eastAsia="es-ES"/>
        </w:rPr>
        <w:drawing>
          <wp:inline distT="0" distB="0" distL="0" distR="0">
            <wp:extent cx="5278120" cy="3481123"/>
            <wp:effectExtent l="0" t="0" r="17780" b="2413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5129E">
        <w:rPr>
          <w:sz w:val="18"/>
          <w:szCs w:val="18"/>
        </w:rPr>
        <w:t xml:space="preserve">Figure </w:t>
      </w:r>
      <w:r w:rsidR="00D804ED">
        <w:rPr>
          <w:sz w:val="18"/>
          <w:szCs w:val="18"/>
        </w:rPr>
        <w:t>9</w:t>
      </w:r>
      <w:r w:rsidR="0045129E" w:rsidRPr="00042576">
        <w:rPr>
          <w:sz w:val="18"/>
          <w:szCs w:val="18"/>
        </w:rPr>
        <w:t>.</w:t>
      </w:r>
      <w:r w:rsidR="0045129E">
        <w:rPr>
          <w:sz w:val="18"/>
          <w:szCs w:val="18"/>
        </w:rPr>
        <w:t xml:space="preserve"> Intended use of Ride-hailing by age compared </w:t>
      </w:r>
      <w:r w:rsidR="000921D8">
        <w:rPr>
          <w:sz w:val="18"/>
          <w:szCs w:val="18"/>
        </w:rPr>
        <w:t xml:space="preserve">to </w:t>
      </w:r>
      <w:r w:rsidR="0045129E">
        <w:rPr>
          <w:sz w:val="18"/>
          <w:szCs w:val="18"/>
        </w:rPr>
        <w:t>other transport services</w:t>
      </w:r>
      <w:r w:rsidR="00D7244B" w:rsidRPr="00D7244B">
        <w:rPr>
          <w:sz w:val="18"/>
          <w:szCs w:val="18"/>
        </w:rPr>
        <w:t xml:space="preserve"> </w:t>
      </w:r>
    </w:p>
    <w:p w:rsidR="009569CC" w:rsidRPr="00B6306A" w:rsidRDefault="009569CC" w:rsidP="009569CC">
      <w:pPr>
        <w:pStyle w:val="Text"/>
        <w:rPr>
          <w:b/>
          <w:lang w:val="en-US"/>
        </w:rPr>
      </w:pPr>
      <w:r>
        <w:rPr>
          <w:b/>
          <w:lang w:val="en-US"/>
        </w:rPr>
        <w:t>Cost of the service and payment</w:t>
      </w:r>
    </w:p>
    <w:p w:rsidR="009569CC" w:rsidRDefault="009569CC" w:rsidP="009569CC">
      <w:pPr>
        <w:pStyle w:val="Text"/>
        <w:rPr>
          <w:lang w:val="en-US"/>
        </w:rPr>
      </w:pPr>
      <w:r>
        <w:rPr>
          <w:lang w:val="en-US"/>
        </w:rPr>
        <w:t>Concerning the cost of a carsharing service, participants would prefer to pay for the distance travelled (34.39%) or having a pass in which minutes or kilometers could be charged in advanced with a lower cost (31.56%), rather than paying for the usage time (19.93%) or a monthly subscription for unlimited trips (14.12%).</w:t>
      </w:r>
    </w:p>
    <w:p w:rsidR="00511D6A" w:rsidRDefault="004D33B9" w:rsidP="009569CC">
      <w:pPr>
        <w:pStyle w:val="Text"/>
        <w:rPr>
          <w:lang w:val="en-US"/>
        </w:rPr>
      </w:pPr>
      <w:r w:rsidRPr="004D33B9">
        <w:rPr>
          <w:lang w:val="en-US"/>
        </w:rPr>
        <w:t xml:space="preserve">Paying for the distance travelled is also preferred in the case of singular and shared ride-hailing services, </w:t>
      </w:r>
      <w:r w:rsidR="009569CC" w:rsidRPr="004D33B9">
        <w:rPr>
          <w:lang w:val="en-US"/>
        </w:rPr>
        <w:t>according to the 42.52% of respondents</w:t>
      </w:r>
      <w:r w:rsidR="0046760C">
        <w:rPr>
          <w:lang w:val="en-US"/>
        </w:rPr>
        <w:t>; whilst the</w:t>
      </w:r>
      <w:r w:rsidR="0046760C" w:rsidRPr="004D33B9">
        <w:rPr>
          <w:lang w:val="en-US"/>
        </w:rPr>
        <w:t xml:space="preserve"> 30.9% would prefe</w:t>
      </w:r>
      <w:r w:rsidR="0046760C">
        <w:rPr>
          <w:lang w:val="en-US"/>
        </w:rPr>
        <w:t>r to pay a fixed price per zone; the 18.6% would b</w:t>
      </w:r>
      <w:r>
        <w:rPr>
          <w:lang w:val="en-US"/>
        </w:rPr>
        <w:t xml:space="preserve">uy a </w:t>
      </w:r>
      <w:r w:rsidR="004157C7">
        <w:rPr>
          <w:lang w:val="en-US"/>
        </w:rPr>
        <w:t>pre-charged pass</w:t>
      </w:r>
      <w:r w:rsidR="0046760C">
        <w:rPr>
          <w:lang w:val="en-US"/>
        </w:rPr>
        <w:t xml:space="preserve"> and only the 7.97% would pay a m</w:t>
      </w:r>
      <w:r w:rsidR="004157C7">
        <w:rPr>
          <w:lang w:val="en-US"/>
        </w:rPr>
        <w:t>onthly subscription</w:t>
      </w:r>
      <w:r w:rsidR="0046760C">
        <w:rPr>
          <w:lang w:val="en-US"/>
        </w:rPr>
        <w:t>.</w:t>
      </w:r>
      <w:r w:rsidR="00DB548E">
        <w:rPr>
          <w:lang w:val="en-US"/>
        </w:rPr>
        <w:t xml:space="preserve"> </w:t>
      </w:r>
    </w:p>
    <w:p w:rsidR="00F140D8" w:rsidRPr="00D366AC" w:rsidRDefault="00F140D8" w:rsidP="00D366AC">
      <w:pPr>
        <w:pStyle w:val="Ttulo1"/>
        <w:numPr>
          <w:ilvl w:val="0"/>
          <w:numId w:val="1"/>
        </w:numPr>
        <w:ind w:left="0" w:hanging="567"/>
        <w:rPr>
          <w:lang w:val="en-US"/>
        </w:rPr>
      </w:pPr>
      <w:bookmarkStart w:id="0" w:name="_GoBack"/>
      <w:bookmarkEnd w:id="0"/>
      <w:r>
        <w:lastRenderedPageBreak/>
        <w:t>CONCLUSIONS</w:t>
      </w:r>
    </w:p>
    <w:p w:rsidR="004D391F" w:rsidRDefault="008554E3" w:rsidP="00D366AC">
      <w:pPr>
        <w:pStyle w:val="Text"/>
      </w:pPr>
      <w:r>
        <w:t xml:space="preserve">This research was focused on finding use cases and the potential customer profiles of emerging mobility services as the first step to define new business models for new shared mobility services. </w:t>
      </w:r>
      <w:r w:rsidR="00E82E2F">
        <w:t>Results show that citizens aged 18-to-29 are high consumers of public transport and</w:t>
      </w:r>
      <w:r w:rsidR="003D17F0">
        <w:t>, whenever it is available, they</w:t>
      </w:r>
      <w:r w:rsidR="00E82E2F">
        <w:t xml:space="preserve"> would </w:t>
      </w:r>
      <w:r w:rsidR="003D17F0">
        <w:t xml:space="preserve">continue preferring this type of transport over the private car or alternative means. </w:t>
      </w:r>
      <w:r w:rsidR="004D391F">
        <w:t>In general, sharing a ride</w:t>
      </w:r>
      <w:r w:rsidR="009A25C9">
        <w:t xml:space="preserve"> is more attractive for th</w:t>
      </w:r>
      <w:r w:rsidR="00A9054B">
        <w:t>e youngest</w:t>
      </w:r>
      <w:r w:rsidR="004D391F">
        <w:t xml:space="preserve"> than driving a car</w:t>
      </w:r>
      <w:r w:rsidR="00A9054B">
        <w:t xml:space="preserve"> (</w:t>
      </w:r>
      <w:r w:rsidR="004D391F">
        <w:t>owned or shared</w:t>
      </w:r>
      <w:r w:rsidR="00A9054B">
        <w:t>)</w:t>
      </w:r>
      <w:r w:rsidR="004D391F">
        <w:t xml:space="preserve">. </w:t>
      </w:r>
      <w:r w:rsidR="00F905E8">
        <w:t xml:space="preserve">By contrast, </w:t>
      </w:r>
      <w:r w:rsidR="004D391F">
        <w:t>30-to-45</w:t>
      </w:r>
      <w:r w:rsidR="00F905E8">
        <w:t xml:space="preserve"> and 46-to-55 </w:t>
      </w:r>
      <w:r w:rsidR="004D391F">
        <w:t>year-old citizens</w:t>
      </w:r>
      <w:r w:rsidR="00F905E8">
        <w:t xml:space="preserve"> would always prefer to drive than sharing rides.</w:t>
      </w:r>
      <w:r w:rsidR="00A65497">
        <w:t xml:space="preserve"> However, the population aged 46-55 show a better predisposition in using ridesharing services than </w:t>
      </w:r>
      <w:r w:rsidR="00807076">
        <w:t xml:space="preserve">the citizens aged 30-45. </w:t>
      </w:r>
      <w:r w:rsidR="00A65497">
        <w:t xml:space="preserve"> </w:t>
      </w:r>
      <w:r w:rsidR="00F905E8">
        <w:t xml:space="preserve"> </w:t>
      </w:r>
      <w:r w:rsidR="000D2702">
        <w:t xml:space="preserve"> </w:t>
      </w:r>
      <w:r w:rsidR="004D391F">
        <w:t xml:space="preserve">   </w:t>
      </w:r>
    </w:p>
    <w:p w:rsidR="00C57E13" w:rsidRPr="00010A55" w:rsidRDefault="00A47159" w:rsidP="00D366AC">
      <w:pPr>
        <w:pStyle w:val="Text"/>
      </w:pPr>
      <w:r w:rsidRPr="00010A55">
        <w:t xml:space="preserve">Emerging mobility services are still very unfamiliar to the general public and this </w:t>
      </w:r>
      <w:r w:rsidR="0079655E">
        <w:t xml:space="preserve">lack of knowledge </w:t>
      </w:r>
      <w:r w:rsidRPr="00010A55">
        <w:t>affected the</w:t>
      </w:r>
      <w:r w:rsidR="0079655E">
        <w:t xml:space="preserve"> outcoming</w:t>
      </w:r>
      <w:r w:rsidRPr="00010A55">
        <w:t xml:space="preserve"> </w:t>
      </w:r>
      <w:r w:rsidR="00044484" w:rsidRPr="00010A55">
        <w:t xml:space="preserve">intention of </w:t>
      </w:r>
      <w:r w:rsidR="00256D1E" w:rsidRPr="00010A55">
        <w:t>use</w:t>
      </w:r>
      <w:r w:rsidR="00044484" w:rsidRPr="00010A55">
        <w:t xml:space="preserve">, since data </w:t>
      </w:r>
      <w:r w:rsidR="00256D1E" w:rsidRPr="00010A55">
        <w:t>indicates that the</w:t>
      </w:r>
      <w:r w:rsidR="00044484" w:rsidRPr="00010A55">
        <w:t xml:space="preserve"> previous experienced users had a </w:t>
      </w:r>
      <w:r w:rsidR="00010A55">
        <w:t>substantially</w:t>
      </w:r>
      <w:r w:rsidR="00010A55" w:rsidRPr="00010A55">
        <w:t xml:space="preserve"> </w:t>
      </w:r>
      <w:r w:rsidR="000E3398">
        <w:t>superior</w:t>
      </w:r>
      <w:r w:rsidR="00044484" w:rsidRPr="00010A55">
        <w:t xml:space="preserve"> intended use in all services analysed.</w:t>
      </w:r>
      <w:r w:rsidR="00334044">
        <w:t xml:space="preserve"> Similarly,</w:t>
      </w:r>
      <w:r w:rsidR="000E3398">
        <w:t xml:space="preserve"> the higher willingness identified of younger population and Barcelona inhabitants</w:t>
      </w:r>
      <w:r w:rsidR="008A0745">
        <w:t xml:space="preserve"> - out of the city there is hardly any mobility service -</w:t>
      </w:r>
      <w:r w:rsidR="000E3398">
        <w:t xml:space="preserve"> towards the use of shared mobility services was proved to be linked with the </w:t>
      </w:r>
      <w:r w:rsidR="00FD47B0">
        <w:t xml:space="preserve">fact of being more familiar with this type of services. </w:t>
      </w:r>
    </w:p>
    <w:p w:rsidR="00AC03C6" w:rsidRDefault="00EC4657" w:rsidP="00AC03C6">
      <w:pPr>
        <w:pStyle w:val="Text"/>
      </w:pPr>
      <w:r w:rsidRPr="00010A55">
        <w:t xml:space="preserve">Findings suggest that shared mobility services should be integrated </w:t>
      </w:r>
      <w:r w:rsidR="008C5621" w:rsidRPr="00010A55">
        <w:t xml:space="preserve">with each other </w:t>
      </w:r>
      <w:r w:rsidRPr="00010A55">
        <w:t>and with the public transport, since respondents only preferred these services when they could not choice going by car or by public transport. Similarly,</w:t>
      </w:r>
      <w:r w:rsidR="00147624" w:rsidRPr="00010A55">
        <w:t xml:space="preserve"> more than a quarter of</w:t>
      </w:r>
      <w:r w:rsidRPr="00010A55">
        <w:t xml:space="preserve"> non-users of public transport </w:t>
      </w:r>
      <w:r w:rsidR="008C5621" w:rsidRPr="00010A55">
        <w:t>indicated</w:t>
      </w:r>
      <w:r w:rsidR="00147624" w:rsidRPr="00010A55">
        <w:t xml:space="preserve"> that public transportation was not an option for them because</w:t>
      </w:r>
      <w:r w:rsidR="004F72AC" w:rsidRPr="00010A55">
        <w:t xml:space="preserve"> their area was not </w:t>
      </w:r>
      <w:r w:rsidR="0079655E">
        <w:t>or inefficiently</w:t>
      </w:r>
      <w:r w:rsidR="004F72AC" w:rsidRPr="00010A55">
        <w:t xml:space="preserve"> covered</w:t>
      </w:r>
      <w:r w:rsidR="0079655E">
        <w:t xml:space="preserve">. </w:t>
      </w:r>
      <w:r w:rsidR="00AC03C6">
        <w:t xml:space="preserve">On the other hand, more than half of interviewees used </w:t>
      </w:r>
      <w:r w:rsidR="0079655E">
        <w:t>daily</w:t>
      </w:r>
      <w:r w:rsidR="00AC03C6">
        <w:t xml:space="preserve"> more than one mean of transport to </w:t>
      </w:r>
      <w:r w:rsidR="0079655E">
        <w:t>reach</w:t>
      </w:r>
      <w:r w:rsidR="00AC03C6">
        <w:t xml:space="preserve"> their destination</w:t>
      </w:r>
      <w:r w:rsidR="0079655E">
        <w:t>s</w:t>
      </w:r>
      <w:r w:rsidR="00AC03C6">
        <w:t xml:space="preserve">, and a quarter of them used both the public transport and the private car, </w:t>
      </w:r>
      <w:r w:rsidR="001C1A83">
        <w:t>under the assumption</w:t>
      </w:r>
      <w:r w:rsidR="00AC03C6">
        <w:t xml:space="preserve"> that the combination of both types of transports was the best travel option in terms of money and time. </w:t>
      </w:r>
    </w:p>
    <w:p w:rsidR="00BF5E10" w:rsidRDefault="00AC03C6" w:rsidP="00D366AC">
      <w:pPr>
        <w:pStyle w:val="Text"/>
      </w:pPr>
      <w:r>
        <w:t>Accordingly</w:t>
      </w:r>
      <w:r w:rsidR="00450ED9" w:rsidRPr="00010A55">
        <w:t xml:space="preserve">, the design of integrated shared mobility services </w:t>
      </w:r>
      <w:r w:rsidR="004F72AC" w:rsidRPr="00010A55">
        <w:t>as a complement of the existing public transportation could</w:t>
      </w:r>
      <w:r w:rsidR="008909F1" w:rsidRPr="00010A55">
        <w:t xml:space="preserve"> contribute to a better and more sustainable urban mobility. This is aligned with the concept of Mobility-as-a-Service (MaaS)</w:t>
      </w:r>
      <w:r w:rsidR="008F3B17" w:rsidRPr="00010A55">
        <w:t xml:space="preserve"> introduced by Whim </w:t>
      </w:r>
      <w:r w:rsidR="00A070D3" w:rsidRPr="00010A55">
        <w:fldChar w:fldCharType="begin"/>
      </w:r>
      <w:r w:rsidR="008F3B17" w:rsidRPr="00010A55">
        <w:instrText xml:space="preserve"> ADDIN ZOTERO_ITEM CSL_CITATION {"citationID":"tRf84Vt3","properties":{"formattedCitation":"(Whim, 2016)","plainCitation":"(Whim, 2016)"},"citationItems":[{"id":469,"uris":["http://zotero.org/users/3254536/items/M69DNM2J"],"uri":["http://zotero.org/users/3254536/items/M69DNM2J"],"itemData":{"id":469,"type":"webpage","title":"Whim travel by MaaS Global","genre":"Whim","URL":"https://whimapp.com/fi-en/","author":[{"family":"Whim","given":""}],"issued":{"date-parts":[["2016"]]},"accessed":{"date-parts":[["2017",3,6]]}}}],"schema":"https://github.com/citation-style-language/schema/raw/master/csl-citation.json"} </w:instrText>
      </w:r>
      <w:r w:rsidR="00A070D3" w:rsidRPr="00010A55">
        <w:fldChar w:fldCharType="separate"/>
      </w:r>
      <w:r w:rsidR="008F3B17" w:rsidRPr="00010A55">
        <w:t>(Whim, 2016)</w:t>
      </w:r>
      <w:r w:rsidR="00A070D3" w:rsidRPr="00010A55">
        <w:fldChar w:fldCharType="end"/>
      </w:r>
      <w:r w:rsidR="008F3B17" w:rsidRPr="00010A55">
        <w:t>. However, according to the respondents, they wouldn’t accept a monthly subscription (as Whim operates)</w:t>
      </w:r>
      <w:r w:rsidR="00FD22D1" w:rsidRPr="00010A55">
        <w:t xml:space="preserve"> and would prefer to pay for use. </w:t>
      </w:r>
    </w:p>
    <w:p w:rsidR="007E2AF9" w:rsidRDefault="007E2AF9" w:rsidP="007E2AF9">
      <w:pPr>
        <w:pStyle w:val="Text"/>
      </w:pPr>
      <w:r>
        <w:lastRenderedPageBreak/>
        <w:t>F</w:t>
      </w:r>
      <w:r w:rsidR="00AD2543">
        <w:t>urther</w:t>
      </w:r>
      <w:r w:rsidR="00EF0C3C" w:rsidRPr="00010A55">
        <w:t xml:space="preserve"> </w:t>
      </w:r>
      <w:r w:rsidR="004E2504" w:rsidRPr="00010A55">
        <w:t>research should</w:t>
      </w:r>
      <w:r w:rsidR="00FD3F10">
        <w:t xml:space="preserve"> focus on</w:t>
      </w:r>
      <w:r w:rsidR="00AD2543">
        <w:t xml:space="preserve"> the needs and expectations of</w:t>
      </w:r>
      <w:r w:rsidR="00FD3F10">
        <w:t xml:space="preserve"> </w:t>
      </w:r>
      <w:r w:rsidR="00AD2543">
        <w:t xml:space="preserve">daily multimodal users and, specially, on daily users of both public and private transportation. Furthermore, future research should also </w:t>
      </w:r>
      <w:r w:rsidR="004E2504" w:rsidRPr="00010A55">
        <w:t>investigate</w:t>
      </w:r>
      <w:r w:rsidR="00967973">
        <w:t xml:space="preserve"> about designing a business model which offers </w:t>
      </w:r>
      <w:r w:rsidR="002B41AE">
        <w:t xml:space="preserve">a value proposition beneficial for both </w:t>
      </w:r>
      <w:r w:rsidR="00967973">
        <w:t>users and cities.</w:t>
      </w:r>
      <w:r>
        <w:t xml:space="preserve"> </w:t>
      </w:r>
    </w:p>
    <w:p w:rsidR="00F140D8" w:rsidRPr="0068012F" w:rsidRDefault="00F140D8" w:rsidP="00D366AC">
      <w:pPr>
        <w:pStyle w:val="Subheading"/>
      </w:pPr>
      <w:r>
        <w:t>acknowledgements</w:t>
      </w:r>
    </w:p>
    <w:p w:rsidR="00E47FA7" w:rsidRPr="00E47FA7" w:rsidRDefault="00F140D8" w:rsidP="00F140D8">
      <w:pPr>
        <w:pStyle w:val="Text"/>
      </w:pPr>
      <w:r w:rsidRPr="00E47FA7">
        <w:t xml:space="preserve">This </w:t>
      </w:r>
      <w:r w:rsidR="003A075C" w:rsidRPr="00E47FA7">
        <w:t>research</w:t>
      </w:r>
      <w:r w:rsidRPr="00E47FA7">
        <w:t xml:space="preserve"> was</w:t>
      </w:r>
      <w:r w:rsidR="003A075C" w:rsidRPr="00E47FA7">
        <w:t xml:space="preserve"> </w:t>
      </w:r>
      <w:r w:rsidR="00481D96" w:rsidRPr="00E47FA7">
        <w:t>financially supported by SEAT, S.A. and</w:t>
      </w:r>
      <w:r w:rsidR="00613BAD" w:rsidRPr="00E47FA7">
        <w:t xml:space="preserve"> </w:t>
      </w:r>
      <w:r w:rsidR="00E47FA7">
        <w:t>a</w:t>
      </w:r>
      <w:r w:rsidR="00613BAD" w:rsidRPr="00E47FA7">
        <w:t xml:space="preserve"> </w:t>
      </w:r>
      <w:r w:rsidR="00E47FA7" w:rsidRPr="00E47FA7">
        <w:t>DI grant from Generalitat de Catalunya (AGAUR)</w:t>
      </w:r>
      <w:r w:rsidR="00E47FA7">
        <w:t>.</w:t>
      </w:r>
    </w:p>
    <w:p w:rsidR="00B40089" w:rsidRPr="0068012F" w:rsidRDefault="00B40089" w:rsidP="0068012F">
      <w:pPr>
        <w:pStyle w:val="Subheading"/>
      </w:pPr>
      <w:r w:rsidRPr="0068012F">
        <w:t>Bibliography</w:t>
      </w:r>
    </w:p>
    <w:p w:rsidR="007A3CD8" w:rsidRPr="007A3CD8" w:rsidRDefault="00A070D3" w:rsidP="007A3CD8">
      <w:pPr>
        <w:pStyle w:val="Bibliografa"/>
        <w:spacing w:after="240" w:line="288" w:lineRule="auto"/>
        <w:ind w:left="0" w:firstLine="0"/>
        <w:jc w:val="both"/>
        <w:rPr>
          <w:sz w:val="24"/>
        </w:rPr>
      </w:pPr>
      <w:r>
        <w:fldChar w:fldCharType="begin"/>
      </w:r>
      <w:r w:rsidR="007A3CD8">
        <w:instrText xml:space="preserve"> ADDIN ZOTERO_BIBL {"custom":[]} CSL_BIBLIOGRAPHY </w:instrText>
      </w:r>
      <w:r>
        <w:fldChar w:fldCharType="separate"/>
      </w:r>
      <w:r w:rsidR="007A3CD8">
        <w:rPr>
          <w:sz w:val="24"/>
        </w:rPr>
        <w:t>Amovens Soluciones. (2017)</w:t>
      </w:r>
      <w:r w:rsidR="007A3CD8" w:rsidRPr="007A3CD8">
        <w:rPr>
          <w:sz w:val="24"/>
        </w:rPr>
        <w:t xml:space="preserve"> Amovens. Retrieved 7 July 2017, from https://amovens.com/</w:t>
      </w:r>
    </w:p>
    <w:p w:rsidR="007A3CD8" w:rsidRPr="007A3CD8" w:rsidRDefault="007A3CD8" w:rsidP="007A3CD8">
      <w:pPr>
        <w:pStyle w:val="Bibliografa"/>
        <w:spacing w:after="240" w:line="288" w:lineRule="auto"/>
        <w:ind w:left="0" w:firstLine="0"/>
        <w:jc w:val="both"/>
        <w:rPr>
          <w:sz w:val="24"/>
        </w:rPr>
      </w:pPr>
      <w:r>
        <w:rPr>
          <w:sz w:val="24"/>
        </w:rPr>
        <w:t>Avancar. (2017)</w:t>
      </w:r>
      <w:r w:rsidRPr="007A3CD8">
        <w:rPr>
          <w:sz w:val="24"/>
        </w:rPr>
        <w:t xml:space="preserve"> Avancar. Retrieved 25 January 2017, from http://www.avancar.es/</w:t>
      </w:r>
    </w:p>
    <w:p w:rsidR="007A3CD8" w:rsidRPr="007A3CD8" w:rsidRDefault="007A3CD8" w:rsidP="007A3CD8">
      <w:pPr>
        <w:pStyle w:val="Bibliografa"/>
        <w:spacing w:after="240" w:line="288" w:lineRule="auto"/>
        <w:ind w:left="0" w:firstLine="0"/>
        <w:jc w:val="both"/>
        <w:rPr>
          <w:sz w:val="24"/>
        </w:rPr>
      </w:pPr>
      <w:r>
        <w:rPr>
          <w:sz w:val="24"/>
        </w:rPr>
        <w:t>Barcelona City Council. (2016a)</w:t>
      </w:r>
      <w:r w:rsidRPr="007A3CD8">
        <w:rPr>
          <w:sz w:val="24"/>
        </w:rPr>
        <w:t xml:space="preserve"> Demography and population. Retrieved from http://www.bcn.cat/estadistica/angles/dades/anuari/cap02/C020104.htm</w:t>
      </w:r>
    </w:p>
    <w:p w:rsidR="007A3CD8" w:rsidRPr="007A3CD8" w:rsidRDefault="007A3CD8" w:rsidP="007A3CD8">
      <w:pPr>
        <w:pStyle w:val="Bibliografa"/>
        <w:spacing w:after="240" w:line="288" w:lineRule="auto"/>
        <w:ind w:left="0" w:firstLine="0"/>
        <w:jc w:val="both"/>
        <w:rPr>
          <w:sz w:val="24"/>
        </w:rPr>
      </w:pPr>
      <w:r>
        <w:rPr>
          <w:sz w:val="24"/>
        </w:rPr>
        <w:t>Barcelona City Council. (2016b)</w:t>
      </w:r>
      <w:r w:rsidRPr="007A3CD8">
        <w:rPr>
          <w:sz w:val="24"/>
        </w:rPr>
        <w:t xml:space="preserve"> Traffic volume at the entrances to the city. 2011-2015. Retrieved 8 August 2017, from http://www.bcn.cat/estadistica/angles/dades/anuari/cap15/C1511010.htm</w:t>
      </w:r>
    </w:p>
    <w:p w:rsidR="007A3CD8" w:rsidRPr="007A3CD8" w:rsidRDefault="007A3CD8" w:rsidP="007A3CD8">
      <w:pPr>
        <w:pStyle w:val="Bibliografa"/>
        <w:spacing w:after="240" w:line="288" w:lineRule="auto"/>
        <w:ind w:left="0" w:firstLine="0"/>
        <w:jc w:val="both"/>
        <w:rPr>
          <w:sz w:val="24"/>
        </w:rPr>
      </w:pPr>
      <w:r w:rsidRPr="007A3CD8">
        <w:rPr>
          <w:sz w:val="24"/>
        </w:rPr>
        <w:t>Barcelona Institute of Regional a</w:t>
      </w:r>
      <w:r>
        <w:rPr>
          <w:sz w:val="24"/>
        </w:rPr>
        <w:t>nd Metropolitan Studies. (2016)</w:t>
      </w:r>
      <w:r w:rsidRPr="007A3CD8">
        <w:rPr>
          <w:sz w:val="24"/>
        </w:rPr>
        <w:t xml:space="preserve"> Workday Mobility Survey in the RMB, 2015. Retrieved from http://www.atm.cat/web/ca/EMEF.php</w:t>
      </w:r>
    </w:p>
    <w:p w:rsidR="007A3CD8" w:rsidRPr="007A3CD8" w:rsidRDefault="007A3CD8" w:rsidP="007A3CD8">
      <w:pPr>
        <w:pStyle w:val="Bibliografa"/>
        <w:spacing w:after="240" w:line="288" w:lineRule="auto"/>
        <w:ind w:left="0" w:firstLine="0"/>
        <w:jc w:val="both"/>
        <w:rPr>
          <w:sz w:val="24"/>
        </w:rPr>
      </w:pPr>
      <w:r>
        <w:rPr>
          <w:sz w:val="24"/>
        </w:rPr>
        <w:t>Bluemove. (2016)</w:t>
      </w:r>
      <w:r w:rsidRPr="007A3CD8">
        <w:rPr>
          <w:sz w:val="24"/>
        </w:rPr>
        <w:t xml:space="preserve"> Bluemove. Retrieved 7 July 2017, from https://bluemove.es/es</w:t>
      </w:r>
    </w:p>
    <w:p w:rsidR="007A3CD8" w:rsidRPr="007A3CD8" w:rsidRDefault="007A3CD8" w:rsidP="007A3CD8">
      <w:pPr>
        <w:pStyle w:val="Bibliografa"/>
        <w:spacing w:after="240" w:line="288" w:lineRule="auto"/>
        <w:ind w:left="0" w:firstLine="0"/>
        <w:jc w:val="both"/>
        <w:rPr>
          <w:sz w:val="24"/>
        </w:rPr>
      </w:pPr>
      <w:r w:rsidRPr="007A3CD8">
        <w:rPr>
          <w:sz w:val="24"/>
        </w:rPr>
        <w:t>Cannon, S., &amp; Su</w:t>
      </w:r>
      <w:r>
        <w:rPr>
          <w:sz w:val="24"/>
        </w:rPr>
        <w:t>mmers, L. H. (2014, October 13)</w:t>
      </w:r>
      <w:r w:rsidRPr="007A3CD8">
        <w:rPr>
          <w:sz w:val="24"/>
        </w:rPr>
        <w:t xml:space="preserve"> How Uber and the Sharing Economy Can Win Over Regulators. Retrieved 13 January 2017, from https://hbr.org/2014/10/how-uber-and-the-sharing-economy-can-win-over-regulators</w:t>
      </w:r>
    </w:p>
    <w:p w:rsidR="007A3CD8" w:rsidRPr="007A3CD8" w:rsidRDefault="007A3CD8" w:rsidP="007A3CD8">
      <w:pPr>
        <w:pStyle w:val="Bibliografa"/>
        <w:spacing w:after="240" w:line="288" w:lineRule="auto"/>
        <w:ind w:left="0" w:firstLine="0"/>
        <w:jc w:val="both"/>
        <w:rPr>
          <w:sz w:val="24"/>
        </w:rPr>
      </w:pPr>
      <w:r w:rsidRPr="007A3CD8">
        <w:rPr>
          <w:sz w:val="24"/>
        </w:rPr>
        <w:t>Co</w:t>
      </w:r>
      <w:r>
        <w:rPr>
          <w:sz w:val="24"/>
        </w:rPr>
        <w:t>hen, B., &amp; Kietzmann, J. (2014)</w:t>
      </w:r>
      <w:r w:rsidRPr="007A3CD8">
        <w:rPr>
          <w:sz w:val="24"/>
        </w:rPr>
        <w:t xml:space="preserve"> Ride on! Mobility business models for the sharing economy. </w:t>
      </w:r>
      <w:r w:rsidRPr="007A3CD8">
        <w:rPr>
          <w:i/>
          <w:iCs/>
          <w:sz w:val="24"/>
        </w:rPr>
        <w:t>Organization &amp; Environment</w:t>
      </w:r>
      <w:r w:rsidRPr="007A3CD8">
        <w:rPr>
          <w:sz w:val="24"/>
        </w:rPr>
        <w:t xml:space="preserve">, </w:t>
      </w:r>
      <w:r w:rsidRPr="007A3CD8">
        <w:rPr>
          <w:i/>
          <w:iCs/>
          <w:sz w:val="24"/>
        </w:rPr>
        <w:t>27</w:t>
      </w:r>
      <w:r w:rsidRPr="007A3CD8">
        <w:rPr>
          <w:sz w:val="24"/>
        </w:rPr>
        <w:t>(3), 279–296.</w:t>
      </w:r>
    </w:p>
    <w:p w:rsidR="007A3CD8" w:rsidRPr="007A3CD8" w:rsidRDefault="007A3CD8" w:rsidP="007A3CD8">
      <w:pPr>
        <w:pStyle w:val="Bibliografa"/>
        <w:spacing w:after="240" w:line="288" w:lineRule="auto"/>
        <w:ind w:left="0" w:firstLine="0"/>
        <w:jc w:val="both"/>
        <w:rPr>
          <w:sz w:val="24"/>
        </w:rPr>
      </w:pPr>
      <w:r>
        <w:rPr>
          <w:sz w:val="24"/>
        </w:rPr>
        <w:lastRenderedPageBreak/>
        <w:t>Cooltra Motosharing. (2017)</w:t>
      </w:r>
      <w:r w:rsidRPr="007A3CD8">
        <w:rPr>
          <w:sz w:val="24"/>
        </w:rPr>
        <w:t xml:space="preserve"> eCooltra. Retrieved 10 August 2017, from https://www.ecooltra.com/es/</w:t>
      </w:r>
    </w:p>
    <w:p w:rsidR="007A3CD8" w:rsidRPr="007A3CD8" w:rsidRDefault="007A3CD8" w:rsidP="007A3CD8">
      <w:pPr>
        <w:pStyle w:val="Bibliografa"/>
        <w:spacing w:after="240" w:line="288" w:lineRule="auto"/>
        <w:ind w:left="0" w:firstLine="0"/>
        <w:jc w:val="both"/>
        <w:rPr>
          <w:sz w:val="24"/>
        </w:rPr>
      </w:pPr>
      <w:r>
        <w:rPr>
          <w:sz w:val="24"/>
        </w:rPr>
        <w:t>Drivy. (2017)</w:t>
      </w:r>
      <w:r w:rsidRPr="007A3CD8">
        <w:rPr>
          <w:sz w:val="24"/>
        </w:rPr>
        <w:t xml:space="preserve"> Drivy. Retrieved 7 July 2017, from https://www.drivy.es/</w:t>
      </w:r>
    </w:p>
    <w:p w:rsidR="007A3CD8" w:rsidRPr="007A3CD8" w:rsidRDefault="007A3CD8" w:rsidP="007A3CD8">
      <w:pPr>
        <w:pStyle w:val="Bibliografa"/>
        <w:spacing w:after="240" w:line="288" w:lineRule="auto"/>
        <w:ind w:left="0" w:firstLine="0"/>
        <w:jc w:val="both"/>
        <w:rPr>
          <w:sz w:val="24"/>
        </w:rPr>
      </w:pPr>
      <w:r w:rsidRPr="007A3CD8">
        <w:rPr>
          <w:sz w:val="24"/>
        </w:rPr>
        <w:t>Euro</w:t>
      </w:r>
      <w:r>
        <w:rPr>
          <w:sz w:val="24"/>
        </w:rPr>
        <w:t>pean Environment Agency. (2016)</w:t>
      </w:r>
      <w:r w:rsidRPr="007A3CD8">
        <w:rPr>
          <w:sz w:val="24"/>
        </w:rPr>
        <w:t xml:space="preserve"> Air quality in Europe - 2016 report. Luxembourg: Publications Office of the European Union.</w:t>
      </w:r>
    </w:p>
    <w:p w:rsidR="007A3CD8" w:rsidRPr="007A3CD8" w:rsidRDefault="007A3CD8" w:rsidP="007A3CD8">
      <w:pPr>
        <w:pStyle w:val="Bibliografa"/>
        <w:spacing w:after="240" w:line="288" w:lineRule="auto"/>
        <w:ind w:left="0" w:firstLine="0"/>
        <w:jc w:val="both"/>
        <w:rPr>
          <w:sz w:val="24"/>
        </w:rPr>
      </w:pPr>
      <w:r w:rsidRPr="007A3CD8">
        <w:rPr>
          <w:sz w:val="24"/>
        </w:rPr>
        <w:t>EY G</w:t>
      </w:r>
      <w:r>
        <w:rPr>
          <w:sz w:val="24"/>
        </w:rPr>
        <w:t>lobal Automotive Center. (2013)</w:t>
      </w:r>
      <w:r w:rsidRPr="007A3CD8">
        <w:rPr>
          <w:sz w:val="24"/>
        </w:rPr>
        <w:t xml:space="preserve"> Urban mobility blueprint: Business strategies in an emerging ecosystem. EY.</w:t>
      </w:r>
    </w:p>
    <w:p w:rsidR="007A3CD8" w:rsidRPr="007A3CD8" w:rsidRDefault="007A3CD8" w:rsidP="007A3CD8">
      <w:pPr>
        <w:pStyle w:val="Bibliografa"/>
        <w:spacing w:after="240" w:line="288" w:lineRule="auto"/>
        <w:ind w:left="0" w:firstLine="0"/>
        <w:jc w:val="both"/>
        <w:rPr>
          <w:sz w:val="24"/>
        </w:rPr>
      </w:pPr>
      <w:r>
        <w:rPr>
          <w:sz w:val="24"/>
        </w:rPr>
        <w:t>Fishman, T. (2012)</w:t>
      </w:r>
      <w:r w:rsidRPr="007A3CD8">
        <w:rPr>
          <w:sz w:val="24"/>
        </w:rPr>
        <w:t xml:space="preserve"> Digital-Age Transportation: The Future of Urban Mobility. Deloitte University Press. Retrieved from https://dupress.deloitte.com/dup-us-en/industry/automotive/digital-age-transportation.html</w:t>
      </w:r>
    </w:p>
    <w:p w:rsidR="007A3CD8" w:rsidRPr="007A3CD8" w:rsidRDefault="007A3CD8" w:rsidP="007A3CD8">
      <w:pPr>
        <w:pStyle w:val="Bibliografa"/>
        <w:spacing w:after="240" w:line="288" w:lineRule="auto"/>
        <w:ind w:left="0" w:firstLine="0"/>
        <w:jc w:val="both"/>
        <w:rPr>
          <w:sz w:val="24"/>
        </w:rPr>
      </w:pPr>
      <w:r w:rsidRPr="007A3CD8">
        <w:rPr>
          <w:sz w:val="24"/>
          <w:lang w:val="es-ES"/>
        </w:rPr>
        <w:t>G</w:t>
      </w:r>
      <w:r>
        <w:rPr>
          <w:sz w:val="24"/>
          <w:lang w:val="es-ES"/>
        </w:rPr>
        <w:t>uerrero, D. (2016, November 21)</w:t>
      </w:r>
      <w:r w:rsidRPr="007A3CD8">
        <w:rPr>
          <w:sz w:val="24"/>
          <w:lang w:val="es-ES"/>
        </w:rPr>
        <w:t xml:space="preserve"> Barcelona restringirá la circulación de los vehículos más contaminantes de forma permanente a partir de 2020. </w:t>
      </w:r>
      <w:r w:rsidRPr="007A3CD8">
        <w:rPr>
          <w:sz w:val="24"/>
        </w:rPr>
        <w:t>Retrieved 9 March 2017, from http://www.lavanguardia.com/local/barcelona/20161121/412028354146/barcelona-restricciones-coches-mas-contaminantes-2020.html</w:t>
      </w:r>
    </w:p>
    <w:p w:rsidR="007A3CD8" w:rsidRPr="007A3CD8" w:rsidRDefault="007A3CD8" w:rsidP="007A3CD8">
      <w:pPr>
        <w:pStyle w:val="Bibliografa"/>
        <w:spacing w:after="240" w:line="288" w:lineRule="auto"/>
        <w:ind w:left="0" w:firstLine="0"/>
        <w:jc w:val="both"/>
        <w:rPr>
          <w:sz w:val="24"/>
        </w:rPr>
      </w:pPr>
      <w:r>
        <w:rPr>
          <w:sz w:val="24"/>
        </w:rPr>
        <w:t>Hietanen, S. (2017, February)</w:t>
      </w:r>
      <w:r w:rsidRPr="007A3CD8">
        <w:rPr>
          <w:sz w:val="24"/>
        </w:rPr>
        <w:t xml:space="preserve"> </w:t>
      </w:r>
      <w:r w:rsidRPr="007A3CD8">
        <w:rPr>
          <w:i/>
          <w:iCs/>
          <w:sz w:val="24"/>
        </w:rPr>
        <w:t>Mobility as a Service: does it change the world and when?</w:t>
      </w:r>
      <w:r w:rsidRPr="007A3CD8">
        <w:rPr>
          <w:sz w:val="24"/>
        </w:rPr>
        <w:t xml:space="preserve"> Presented at the VIII Conference of ITS in Catalonia, Barcelona.</w:t>
      </w:r>
    </w:p>
    <w:p w:rsidR="007A3CD8" w:rsidRPr="007A3CD8" w:rsidRDefault="007A3CD8" w:rsidP="007A3CD8">
      <w:pPr>
        <w:pStyle w:val="Bibliografa"/>
        <w:spacing w:after="240" w:line="288" w:lineRule="auto"/>
        <w:ind w:left="0" w:firstLine="0"/>
        <w:jc w:val="both"/>
        <w:rPr>
          <w:sz w:val="24"/>
        </w:rPr>
      </w:pPr>
      <w:r>
        <w:rPr>
          <w:sz w:val="24"/>
        </w:rPr>
        <w:t>Juniper Research. (2015)</w:t>
      </w:r>
      <w:r w:rsidRPr="007A3CD8">
        <w:rPr>
          <w:sz w:val="24"/>
        </w:rPr>
        <w:t xml:space="preserve"> Barcelona Named ‘Global Smart City – 2015’. Retrieved 17 February 2017, from https://www.juniperresearch.com/press/press-releases/barcelona-named-global-smart-city-2015</w:t>
      </w:r>
    </w:p>
    <w:p w:rsidR="007A3CD8" w:rsidRPr="007A3CD8" w:rsidRDefault="007A3CD8" w:rsidP="007A3CD8">
      <w:pPr>
        <w:pStyle w:val="Bibliografa"/>
        <w:spacing w:after="240" w:line="288" w:lineRule="auto"/>
        <w:ind w:left="0" w:firstLine="0"/>
        <w:jc w:val="both"/>
        <w:rPr>
          <w:sz w:val="24"/>
        </w:rPr>
      </w:pPr>
      <w:r w:rsidRPr="007A3CD8">
        <w:rPr>
          <w:sz w:val="24"/>
        </w:rPr>
        <w:t>Juniper R</w:t>
      </w:r>
      <w:r>
        <w:rPr>
          <w:sz w:val="24"/>
        </w:rPr>
        <w:t>esearch. (2016)</w:t>
      </w:r>
      <w:r w:rsidRPr="007A3CD8">
        <w:rPr>
          <w:sz w:val="24"/>
        </w:rPr>
        <w:t xml:space="preserve"> Singapore Named ‘Global Smart City – 2016’. Retrieved 17 February 2017, from https://www.juniperresearch.com/press/press-releases/singapore-named-global-smart-city-2016</w:t>
      </w:r>
    </w:p>
    <w:p w:rsidR="007A3CD8" w:rsidRPr="007A3CD8" w:rsidRDefault="007A3CD8" w:rsidP="007A3CD8">
      <w:pPr>
        <w:pStyle w:val="Bibliografa"/>
        <w:spacing w:after="240" w:line="288" w:lineRule="auto"/>
        <w:ind w:left="0" w:firstLine="0"/>
        <w:jc w:val="both"/>
        <w:rPr>
          <w:sz w:val="24"/>
        </w:rPr>
      </w:pPr>
      <w:r>
        <w:rPr>
          <w:sz w:val="24"/>
        </w:rPr>
        <w:t>Kenworthy, J. R. (2006)</w:t>
      </w:r>
      <w:r w:rsidRPr="007A3CD8">
        <w:rPr>
          <w:sz w:val="24"/>
        </w:rPr>
        <w:t xml:space="preserve"> The eco-city: ten key transport and planning dimensions for sustainable city development. </w:t>
      </w:r>
      <w:r w:rsidRPr="007A3CD8">
        <w:rPr>
          <w:i/>
          <w:iCs/>
          <w:sz w:val="24"/>
        </w:rPr>
        <w:t>Environment and Urbanization</w:t>
      </w:r>
      <w:r w:rsidRPr="007A3CD8">
        <w:rPr>
          <w:sz w:val="24"/>
        </w:rPr>
        <w:t xml:space="preserve">, </w:t>
      </w:r>
      <w:r w:rsidRPr="007A3CD8">
        <w:rPr>
          <w:i/>
          <w:iCs/>
          <w:sz w:val="24"/>
        </w:rPr>
        <w:t>18</w:t>
      </w:r>
      <w:r w:rsidRPr="007A3CD8">
        <w:rPr>
          <w:sz w:val="24"/>
        </w:rPr>
        <w:t>(1), 67–85. https://doi.org/10.1177/0956247806063947</w:t>
      </w:r>
    </w:p>
    <w:p w:rsidR="007A3CD8" w:rsidRPr="007A3CD8" w:rsidRDefault="007A3CD8" w:rsidP="007A3CD8">
      <w:pPr>
        <w:pStyle w:val="Bibliografa"/>
        <w:spacing w:after="240" w:line="288" w:lineRule="auto"/>
        <w:ind w:left="0" w:firstLine="0"/>
        <w:jc w:val="both"/>
        <w:rPr>
          <w:sz w:val="24"/>
        </w:rPr>
      </w:pPr>
      <w:r w:rsidRPr="007A3CD8">
        <w:rPr>
          <w:sz w:val="24"/>
        </w:rPr>
        <w:t xml:space="preserve">Koceva, M. M., Brandmüller, T., Lupu, I., Önnerfors, Å., Corselli-Nordblad, L., Coyette, C., … Europäische Kommission (Eds.). </w:t>
      </w:r>
      <w:r>
        <w:rPr>
          <w:sz w:val="24"/>
        </w:rPr>
        <w:t>(2016)</w:t>
      </w:r>
      <w:r w:rsidRPr="007A3CD8">
        <w:rPr>
          <w:sz w:val="24"/>
        </w:rPr>
        <w:t xml:space="preserve"> </w:t>
      </w:r>
      <w:r w:rsidRPr="007A3CD8">
        <w:rPr>
          <w:i/>
          <w:iCs/>
          <w:sz w:val="24"/>
        </w:rPr>
        <w:t>Urban Europe: statistics on cities, towns and suburbs</w:t>
      </w:r>
      <w:r w:rsidRPr="007A3CD8">
        <w:rPr>
          <w:sz w:val="24"/>
        </w:rPr>
        <w:t xml:space="preserve"> (2016 edition). Luxembourg: Publications Office of the European Union.</w:t>
      </w:r>
    </w:p>
    <w:p w:rsidR="007A3CD8" w:rsidRPr="007A3CD8" w:rsidRDefault="007A3CD8" w:rsidP="007A3CD8">
      <w:pPr>
        <w:pStyle w:val="Bibliografa"/>
        <w:spacing w:after="240" w:line="288" w:lineRule="auto"/>
        <w:ind w:left="0" w:firstLine="0"/>
        <w:jc w:val="both"/>
        <w:rPr>
          <w:sz w:val="24"/>
        </w:rPr>
      </w:pPr>
      <w:r>
        <w:rPr>
          <w:sz w:val="24"/>
        </w:rPr>
        <w:lastRenderedPageBreak/>
        <w:t>Maxi Mobility. (2017)</w:t>
      </w:r>
      <w:r w:rsidRPr="007A3CD8">
        <w:rPr>
          <w:sz w:val="24"/>
        </w:rPr>
        <w:t xml:space="preserve"> Cabify. Retrieved 7 July 2017, from https://cabify.com</w:t>
      </w:r>
    </w:p>
    <w:p w:rsidR="007A3CD8" w:rsidRPr="007A3CD8" w:rsidRDefault="007A3CD8" w:rsidP="007A3CD8">
      <w:pPr>
        <w:pStyle w:val="Bibliografa"/>
        <w:spacing w:after="240" w:line="288" w:lineRule="auto"/>
        <w:ind w:left="0" w:firstLine="0"/>
        <w:jc w:val="both"/>
        <w:rPr>
          <w:sz w:val="24"/>
        </w:rPr>
      </w:pPr>
      <w:r w:rsidRPr="007A3CD8">
        <w:rPr>
          <w:sz w:val="24"/>
        </w:rPr>
        <w:t>McKins</w:t>
      </w:r>
      <w:r>
        <w:rPr>
          <w:sz w:val="24"/>
        </w:rPr>
        <w:t>ey &amp; Company. (2015, September)</w:t>
      </w:r>
      <w:r w:rsidRPr="007A3CD8">
        <w:rPr>
          <w:sz w:val="24"/>
        </w:rPr>
        <w:t xml:space="preserve"> Competing for the connected customer - perspectives on the opportunities created by car connectivity and automation. McKinsey &amp; Company.</w:t>
      </w:r>
    </w:p>
    <w:p w:rsidR="007A3CD8" w:rsidRPr="007A3CD8" w:rsidRDefault="007A3CD8" w:rsidP="007A3CD8">
      <w:pPr>
        <w:pStyle w:val="Bibliografa"/>
        <w:spacing w:after="240" w:line="288" w:lineRule="auto"/>
        <w:ind w:left="0" w:firstLine="0"/>
        <w:jc w:val="both"/>
        <w:rPr>
          <w:sz w:val="24"/>
        </w:rPr>
      </w:pPr>
      <w:r>
        <w:rPr>
          <w:sz w:val="24"/>
        </w:rPr>
        <w:t>moovel. (2017)</w:t>
      </w:r>
      <w:r w:rsidRPr="007A3CD8">
        <w:rPr>
          <w:sz w:val="24"/>
        </w:rPr>
        <w:t xml:space="preserve"> moovel my way. Retrieved 6 March 2017, from https://www.moovel.com</w:t>
      </w:r>
    </w:p>
    <w:p w:rsidR="007A3CD8" w:rsidRPr="007A3CD8" w:rsidRDefault="007A3CD8" w:rsidP="007A3CD8">
      <w:pPr>
        <w:pStyle w:val="Bibliografa"/>
        <w:spacing w:after="240" w:line="288" w:lineRule="auto"/>
        <w:ind w:left="0" w:firstLine="0"/>
        <w:jc w:val="both"/>
        <w:rPr>
          <w:sz w:val="24"/>
        </w:rPr>
      </w:pPr>
      <w:r>
        <w:rPr>
          <w:sz w:val="24"/>
        </w:rPr>
        <w:t>Motit World. (2017)</w:t>
      </w:r>
      <w:r w:rsidRPr="007A3CD8">
        <w:rPr>
          <w:sz w:val="24"/>
        </w:rPr>
        <w:t xml:space="preserve"> Motit. Retrieved 10 August 2017, from http://www.motitworld.com/bcn/</w:t>
      </w:r>
    </w:p>
    <w:p w:rsidR="007A3CD8" w:rsidRPr="007A3CD8" w:rsidRDefault="007A3CD8" w:rsidP="007A3CD8">
      <w:pPr>
        <w:pStyle w:val="Bibliografa"/>
        <w:spacing w:after="240" w:line="288" w:lineRule="auto"/>
        <w:ind w:left="0" w:firstLine="0"/>
        <w:jc w:val="both"/>
        <w:rPr>
          <w:sz w:val="24"/>
        </w:rPr>
      </w:pPr>
      <w:r w:rsidRPr="007A3CD8">
        <w:rPr>
          <w:sz w:val="24"/>
          <w:lang w:val="es-ES"/>
        </w:rPr>
        <w:t xml:space="preserve">Mueller, N., Rojas-Rueda, D., Basagaña, X., Cirach, M., Cole-Hunter, T., Dadvand, P., … </w:t>
      </w:r>
      <w:r>
        <w:rPr>
          <w:sz w:val="24"/>
        </w:rPr>
        <w:t>Nieuwenhuijsen, M. (2016)</w:t>
      </w:r>
      <w:r w:rsidRPr="007A3CD8">
        <w:rPr>
          <w:sz w:val="24"/>
        </w:rPr>
        <w:t xml:space="preserve"> Urban and Transport Planning Related Exposures and Mortality: A Health Impact Assessment for Cities. </w:t>
      </w:r>
      <w:r w:rsidRPr="007A3CD8">
        <w:rPr>
          <w:i/>
          <w:iCs/>
          <w:sz w:val="24"/>
        </w:rPr>
        <w:t>Environmental Health Perspectives</w:t>
      </w:r>
      <w:r w:rsidRPr="007A3CD8">
        <w:rPr>
          <w:sz w:val="24"/>
        </w:rPr>
        <w:t xml:space="preserve">, </w:t>
      </w:r>
      <w:r w:rsidRPr="007A3CD8">
        <w:rPr>
          <w:i/>
          <w:iCs/>
          <w:sz w:val="24"/>
        </w:rPr>
        <w:t>125</w:t>
      </w:r>
      <w:r w:rsidRPr="007A3CD8">
        <w:rPr>
          <w:sz w:val="24"/>
        </w:rPr>
        <w:t>(1). https://doi.org/10.1289/EHP220</w:t>
      </w:r>
    </w:p>
    <w:p w:rsidR="007A3CD8" w:rsidRPr="007A3CD8" w:rsidRDefault="007A3CD8" w:rsidP="007A3CD8">
      <w:pPr>
        <w:pStyle w:val="Bibliografa"/>
        <w:spacing w:after="240" w:line="288" w:lineRule="auto"/>
        <w:ind w:left="0" w:firstLine="0"/>
        <w:jc w:val="both"/>
        <w:rPr>
          <w:sz w:val="24"/>
        </w:rPr>
      </w:pPr>
      <w:r>
        <w:rPr>
          <w:sz w:val="24"/>
        </w:rPr>
        <w:t>mytaxi. (2016)</w:t>
      </w:r>
      <w:r w:rsidRPr="007A3CD8">
        <w:rPr>
          <w:sz w:val="24"/>
        </w:rPr>
        <w:t xml:space="preserve"> mytaxi - The Taxi App. Retrieved 6 March 2017, from https://us.mytaxi.com/index.html</w:t>
      </w:r>
    </w:p>
    <w:p w:rsidR="007A3CD8" w:rsidRPr="007A3CD8" w:rsidRDefault="007A3CD8" w:rsidP="007A3CD8">
      <w:pPr>
        <w:pStyle w:val="Bibliografa"/>
        <w:spacing w:after="240" w:line="288" w:lineRule="auto"/>
        <w:ind w:left="0" w:firstLine="0"/>
        <w:jc w:val="both"/>
        <w:rPr>
          <w:sz w:val="24"/>
        </w:rPr>
      </w:pPr>
      <w:r w:rsidRPr="007A3CD8">
        <w:rPr>
          <w:sz w:val="24"/>
        </w:rPr>
        <w:t>Okuda, T., Hirasawa, S., Matsukuma, N., Fukumoto, T., &amp; Shimura, A. (2012</w:t>
      </w:r>
      <w:r>
        <w:rPr>
          <w:sz w:val="24"/>
        </w:rPr>
        <w:t>, May)</w:t>
      </w:r>
      <w:r w:rsidRPr="007A3CD8">
        <w:rPr>
          <w:sz w:val="24"/>
        </w:rPr>
        <w:t xml:space="preserve"> Smart Mobility for Smart Cities. </w:t>
      </w:r>
      <w:r w:rsidRPr="007A3CD8">
        <w:rPr>
          <w:i/>
          <w:iCs/>
          <w:sz w:val="24"/>
        </w:rPr>
        <w:t>Hitachi Review</w:t>
      </w:r>
      <w:r w:rsidRPr="007A3CD8">
        <w:rPr>
          <w:sz w:val="24"/>
        </w:rPr>
        <w:t xml:space="preserve">, </w:t>
      </w:r>
      <w:r w:rsidRPr="007A3CD8">
        <w:rPr>
          <w:i/>
          <w:iCs/>
          <w:sz w:val="24"/>
        </w:rPr>
        <w:t>61</w:t>
      </w:r>
      <w:r w:rsidRPr="007A3CD8">
        <w:rPr>
          <w:sz w:val="24"/>
        </w:rPr>
        <w:t>(3), 141–146.</w:t>
      </w:r>
    </w:p>
    <w:p w:rsidR="007A3CD8" w:rsidRPr="007A3CD8" w:rsidRDefault="007A3CD8" w:rsidP="007A3CD8">
      <w:pPr>
        <w:pStyle w:val="Bibliografa"/>
        <w:spacing w:after="240" w:line="288" w:lineRule="auto"/>
        <w:ind w:left="0" w:firstLine="0"/>
        <w:jc w:val="both"/>
        <w:rPr>
          <w:sz w:val="24"/>
        </w:rPr>
      </w:pPr>
      <w:r>
        <w:rPr>
          <w:sz w:val="24"/>
        </w:rPr>
        <w:t>Outo. (2017)</w:t>
      </w:r>
      <w:r w:rsidRPr="007A3CD8">
        <w:rPr>
          <w:sz w:val="24"/>
        </w:rPr>
        <w:t xml:space="preserve"> Outo. Retrieved 10 August 2017, from https://www.outo.es/</w:t>
      </w:r>
    </w:p>
    <w:p w:rsidR="007A3CD8" w:rsidRPr="007A3CD8" w:rsidRDefault="007A3CD8" w:rsidP="007A3CD8">
      <w:pPr>
        <w:pStyle w:val="Bibliografa"/>
        <w:spacing w:after="240" w:line="288" w:lineRule="auto"/>
        <w:ind w:left="0" w:firstLine="0"/>
        <w:jc w:val="both"/>
        <w:rPr>
          <w:sz w:val="24"/>
        </w:rPr>
      </w:pPr>
      <w:r>
        <w:rPr>
          <w:sz w:val="24"/>
        </w:rPr>
        <w:t>Schor, J. (2014)</w:t>
      </w:r>
      <w:r w:rsidRPr="007A3CD8">
        <w:rPr>
          <w:sz w:val="24"/>
        </w:rPr>
        <w:t xml:space="preserve"> Debating the sharing economy. </w:t>
      </w:r>
      <w:r w:rsidRPr="007A3CD8">
        <w:rPr>
          <w:i/>
          <w:iCs/>
          <w:sz w:val="24"/>
        </w:rPr>
        <w:t>Great Transition Initiative</w:t>
      </w:r>
      <w:r w:rsidRPr="007A3CD8">
        <w:rPr>
          <w:sz w:val="24"/>
        </w:rPr>
        <w:t>. Retrieved from http://www.tellus.org/pub/Schor_Debating_the_Sharing_Economy.pdf</w:t>
      </w:r>
    </w:p>
    <w:p w:rsidR="007A3CD8" w:rsidRPr="007A3CD8" w:rsidRDefault="007A3CD8" w:rsidP="007A3CD8">
      <w:pPr>
        <w:pStyle w:val="Bibliografa"/>
        <w:spacing w:after="240" w:line="288" w:lineRule="auto"/>
        <w:ind w:left="0" w:firstLine="0"/>
        <w:jc w:val="both"/>
        <w:rPr>
          <w:sz w:val="24"/>
        </w:rPr>
      </w:pPr>
      <w:r>
        <w:rPr>
          <w:sz w:val="24"/>
        </w:rPr>
        <w:t>Sharing Muving. (2017)</w:t>
      </w:r>
      <w:r w:rsidRPr="007A3CD8">
        <w:rPr>
          <w:sz w:val="24"/>
        </w:rPr>
        <w:t xml:space="preserve"> Muving [Muving]. Retrieved 10 August 2017, from http://www.muving.com/</w:t>
      </w:r>
    </w:p>
    <w:p w:rsidR="007A3CD8" w:rsidRPr="007A3CD8" w:rsidRDefault="007A3CD8" w:rsidP="007A3CD8">
      <w:pPr>
        <w:pStyle w:val="Bibliografa"/>
        <w:spacing w:after="240" w:line="288" w:lineRule="auto"/>
        <w:ind w:left="0" w:firstLine="0"/>
        <w:jc w:val="both"/>
        <w:rPr>
          <w:sz w:val="24"/>
        </w:rPr>
      </w:pPr>
      <w:r>
        <w:rPr>
          <w:sz w:val="24"/>
        </w:rPr>
        <w:t>SocialCar. (2017)</w:t>
      </w:r>
      <w:r w:rsidRPr="007A3CD8">
        <w:rPr>
          <w:sz w:val="24"/>
        </w:rPr>
        <w:t xml:space="preserve"> SocialCar. Retrieved 25 January 2017, from https://www.socialcar.com/</w:t>
      </w:r>
    </w:p>
    <w:p w:rsidR="007A3CD8" w:rsidRPr="007A3CD8" w:rsidRDefault="007A3CD8" w:rsidP="007A3CD8">
      <w:pPr>
        <w:pStyle w:val="Bibliografa"/>
        <w:spacing w:after="240" w:line="288" w:lineRule="auto"/>
        <w:ind w:left="0" w:firstLine="0"/>
        <w:jc w:val="both"/>
        <w:rPr>
          <w:sz w:val="24"/>
        </w:rPr>
      </w:pPr>
      <w:r>
        <w:rPr>
          <w:sz w:val="24"/>
        </w:rPr>
        <w:t>UITP. (2017, January)</w:t>
      </w:r>
      <w:r w:rsidRPr="007A3CD8">
        <w:rPr>
          <w:sz w:val="24"/>
        </w:rPr>
        <w:t xml:space="preserve"> Autonomous vehicles: a potential game changer for urban mobility. International Association of Public Transport.</w:t>
      </w:r>
    </w:p>
    <w:p w:rsidR="007A3CD8" w:rsidRPr="007A3CD8" w:rsidRDefault="007A3CD8" w:rsidP="007A3CD8">
      <w:pPr>
        <w:pStyle w:val="Bibliografa"/>
        <w:spacing w:after="240" w:line="288" w:lineRule="auto"/>
        <w:ind w:left="0" w:firstLine="0"/>
        <w:jc w:val="both"/>
        <w:rPr>
          <w:sz w:val="24"/>
        </w:rPr>
      </w:pPr>
      <w:r w:rsidRPr="007A3CD8">
        <w:rPr>
          <w:sz w:val="24"/>
        </w:rPr>
        <w:t>United Nations, Department of Economic and Social Affairs</w:t>
      </w:r>
      <w:r>
        <w:rPr>
          <w:sz w:val="24"/>
        </w:rPr>
        <w:t>, &amp; Population Division. (2014)</w:t>
      </w:r>
      <w:r w:rsidRPr="007A3CD8">
        <w:rPr>
          <w:sz w:val="24"/>
        </w:rPr>
        <w:t xml:space="preserve"> </w:t>
      </w:r>
      <w:r w:rsidRPr="007A3CD8">
        <w:rPr>
          <w:i/>
          <w:iCs/>
          <w:sz w:val="24"/>
        </w:rPr>
        <w:t>World urbanization prospects: the 2014 revision : highlights</w:t>
      </w:r>
      <w:r w:rsidRPr="007A3CD8">
        <w:rPr>
          <w:sz w:val="24"/>
        </w:rPr>
        <w:t>.</w:t>
      </w:r>
    </w:p>
    <w:p w:rsidR="007A3CD8" w:rsidRPr="007A3CD8" w:rsidRDefault="007A3CD8" w:rsidP="007A3CD8">
      <w:pPr>
        <w:pStyle w:val="Bibliografa"/>
        <w:spacing w:after="240" w:line="288" w:lineRule="auto"/>
        <w:ind w:left="0" w:firstLine="0"/>
        <w:jc w:val="both"/>
        <w:rPr>
          <w:sz w:val="24"/>
        </w:rPr>
      </w:pPr>
      <w:r w:rsidRPr="007A3CD8">
        <w:rPr>
          <w:sz w:val="24"/>
        </w:rPr>
        <w:t>V</w:t>
      </w:r>
      <w:r>
        <w:rPr>
          <w:sz w:val="24"/>
        </w:rPr>
        <w:t>illalante, M. (2017, February)n</w:t>
      </w:r>
      <w:r w:rsidRPr="007A3CD8">
        <w:rPr>
          <w:i/>
          <w:iCs/>
          <w:sz w:val="24"/>
        </w:rPr>
        <w:t>MaaS : un nuevo paradigma de gobernanza</w:t>
      </w:r>
      <w:r w:rsidRPr="007A3CD8">
        <w:rPr>
          <w:sz w:val="24"/>
        </w:rPr>
        <w:t>. Presented at the VIII Conference of ITS in Catalonia, Barcelona.</w:t>
      </w:r>
    </w:p>
    <w:p w:rsidR="007A3CD8" w:rsidRPr="007A3CD8" w:rsidRDefault="007A3CD8" w:rsidP="007A3CD8">
      <w:pPr>
        <w:pStyle w:val="Bibliografa"/>
        <w:spacing w:after="240" w:line="288" w:lineRule="auto"/>
        <w:ind w:left="0" w:firstLine="0"/>
        <w:jc w:val="both"/>
        <w:rPr>
          <w:sz w:val="24"/>
        </w:rPr>
      </w:pPr>
      <w:r>
        <w:rPr>
          <w:sz w:val="24"/>
        </w:rPr>
        <w:lastRenderedPageBreak/>
        <w:t>Whim. (2016)</w:t>
      </w:r>
      <w:r w:rsidRPr="007A3CD8">
        <w:rPr>
          <w:sz w:val="24"/>
        </w:rPr>
        <w:t xml:space="preserve"> Whim travel by MaaS Global [Whim]. Retrieved 6 March 2017, from https://whimapp.com/fi-en/</w:t>
      </w:r>
    </w:p>
    <w:p w:rsidR="007A3CD8" w:rsidRPr="007A3CD8" w:rsidRDefault="007A3CD8" w:rsidP="007A3CD8">
      <w:pPr>
        <w:pStyle w:val="Bibliografa"/>
        <w:spacing w:after="240" w:line="288" w:lineRule="auto"/>
        <w:ind w:left="0" w:firstLine="0"/>
        <w:jc w:val="both"/>
        <w:rPr>
          <w:sz w:val="24"/>
        </w:rPr>
      </w:pPr>
      <w:r>
        <w:rPr>
          <w:sz w:val="24"/>
        </w:rPr>
        <w:t>YUGO Urban Mobility. (2017)</w:t>
      </w:r>
      <w:r w:rsidRPr="007A3CD8">
        <w:rPr>
          <w:sz w:val="24"/>
        </w:rPr>
        <w:t xml:space="preserve"> YUGO. Retrieved 10 August 2017, from https://www.getyugo.com</w:t>
      </w:r>
    </w:p>
    <w:p w:rsidR="00EE3406" w:rsidRDefault="00A070D3" w:rsidP="007A3CD8">
      <w:pPr>
        <w:pStyle w:val="Bibliographyreferences"/>
        <w:spacing w:line="288" w:lineRule="auto"/>
      </w:pPr>
      <w:r>
        <w:fldChar w:fldCharType="end"/>
      </w:r>
    </w:p>
    <w:p w:rsidR="00EE3406" w:rsidRDefault="00EE3406" w:rsidP="005A55EB">
      <w:pPr>
        <w:pStyle w:val="Bibliographyreferences"/>
        <w:spacing w:line="288" w:lineRule="auto"/>
      </w:pPr>
    </w:p>
    <w:p w:rsidR="00C2679F" w:rsidRDefault="00C2679F" w:rsidP="00C2679F"/>
    <w:sectPr w:rsidR="00C2679F" w:rsidSect="00B40089">
      <w:headerReference w:type="default" r:id="rId18"/>
      <w:footerReference w:type="default" r:id="rId19"/>
      <w:type w:val="oddPage"/>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B6" w:rsidRDefault="003F4FB6" w:rsidP="005A55EB">
      <w:r>
        <w:separator/>
      </w:r>
    </w:p>
  </w:endnote>
  <w:endnote w:type="continuationSeparator" w:id="0">
    <w:p w:rsidR="003F4FB6" w:rsidRDefault="003F4FB6" w:rsidP="005A5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7B" w:rsidRPr="005A55EB" w:rsidRDefault="00351E7B" w:rsidP="005A55EB">
    <w:pPr>
      <w:pStyle w:val="copyright"/>
    </w:pPr>
    <w:r w:rsidRPr="005A55EB">
      <w:t>© AET 201</w:t>
    </w:r>
    <w:r>
      <w:t>7</w:t>
    </w:r>
    <w:r w:rsidRPr="005A55EB">
      <w:t xml:space="preserve"> and contributors</w:t>
    </w:r>
  </w:p>
  <w:p w:rsidR="00351E7B" w:rsidRPr="005A55EB" w:rsidRDefault="00A070D3" w:rsidP="005A55EB">
    <w:pPr>
      <w:pStyle w:val="PageNumber1"/>
    </w:pPr>
    <w:r>
      <w:fldChar w:fldCharType="begin"/>
    </w:r>
    <w:r w:rsidR="00351E7B">
      <w:instrText xml:space="preserve"> PAGE   \* MERGEFORMAT </w:instrText>
    </w:r>
    <w:r>
      <w:fldChar w:fldCharType="separate"/>
    </w:r>
    <w:r w:rsidR="00D804ED">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B6" w:rsidRDefault="003F4FB6" w:rsidP="005A55EB">
      <w:r>
        <w:separator/>
      </w:r>
    </w:p>
  </w:footnote>
  <w:footnote w:type="continuationSeparator" w:id="0">
    <w:p w:rsidR="003F4FB6" w:rsidRDefault="003F4FB6" w:rsidP="005A5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7B" w:rsidRDefault="00351E7B" w:rsidP="009708D5">
    <w:pPr>
      <w:pStyle w:val="Encabezado"/>
      <w:ind w:left="3600"/>
      <w:jc w:val="right"/>
      <w:rPr>
        <w:noProof/>
        <w:lang w:eastAsia="en-GB"/>
      </w:rPr>
    </w:pPr>
    <w:r>
      <w:rPr>
        <w:noProof/>
        <w:lang w:val="es-ES" w:eastAsia="es-ES"/>
      </w:rPr>
      <w:drawing>
        <wp:anchor distT="0" distB="0" distL="114300" distR="114300" simplePos="0" relativeHeight="251657728" behindDoc="0" locked="0" layoutInCell="1" allowOverlap="1">
          <wp:simplePos x="0" y="0"/>
          <wp:positionH relativeFrom="column">
            <wp:posOffset>-12700</wp:posOffset>
          </wp:positionH>
          <wp:positionV relativeFrom="paragraph">
            <wp:posOffset>-193040</wp:posOffset>
          </wp:positionV>
          <wp:extent cx="694690" cy="87503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7136"/>
                  <a:stretch>
                    <a:fillRect/>
                  </a:stretch>
                </pic:blipFill>
                <pic:spPr bwMode="auto">
                  <a:xfrm>
                    <a:off x="0" y="0"/>
                    <a:ext cx="694690" cy="875030"/>
                  </a:xfrm>
                  <a:prstGeom prst="rect">
                    <a:avLst/>
                  </a:prstGeom>
                  <a:noFill/>
                  <a:ln>
                    <a:noFill/>
                  </a:ln>
                </pic:spPr>
              </pic:pic>
            </a:graphicData>
          </a:graphic>
        </wp:anchor>
      </w:drawing>
    </w:r>
    <w:r>
      <w:rPr>
        <w:noProof/>
        <w:lang w:val="es-ES" w:eastAsia="es-ES"/>
      </w:rPr>
      <w:drawing>
        <wp:inline distT="0" distB="0" distL="0" distR="0">
          <wp:extent cx="1311275" cy="603885"/>
          <wp:effectExtent l="0" t="0" r="3175" b="5715"/>
          <wp:docPr id="1" name="Picture 2" descr="C:\Users\Sally\Documents\AET Board adviser\ETC 2017\Logos\ETC Logo 2017 FINAL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ly\Documents\AET Board adviser\ETC 2017\Logos\ETC Logo 2017 FINAL MAS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03885"/>
                  </a:xfrm>
                  <a:prstGeom prst="rect">
                    <a:avLst/>
                  </a:prstGeom>
                  <a:noFill/>
                  <a:ln>
                    <a:noFill/>
                  </a:ln>
                </pic:spPr>
              </pic:pic>
            </a:graphicData>
          </a:graphic>
        </wp:inline>
      </w:drawing>
    </w:r>
    <w:r>
      <w:rPr>
        <w:noProof/>
        <w:lang w:eastAsia="en-GB"/>
      </w:rPr>
      <w:t xml:space="preserve">                                                                             </w:t>
    </w:r>
  </w:p>
  <w:p w:rsidR="00351E7B" w:rsidRDefault="00351E7B" w:rsidP="009708D5">
    <w:pPr>
      <w:pStyle w:val="Encabezado"/>
      <w:ind w:left="3600"/>
      <w:jc w:val="right"/>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794"/>
    <w:multiLevelType w:val="hybridMultilevel"/>
    <w:tmpl w:val="50D216AC"/>
    <w:lvl w:ilvl="0" w:tplc="37B69FA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A7028E"/>
    <w:multiLevelType w:val="hybridMultilevel"/>
    <w:tmpl w:val="3C04CD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B10805"/>
    <w:multiLevelType w:val="hybridMultilevel"/>
    <w:tmpl w:val="99863D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686166C"/>
    <w:multiLevelType w:val="multilevel"/>
    <w:tmpl w:val="F1AC0C7A"/>
    <w:lvl w:ilvl="0">
      <w:start w:val="1"/>
      <w:numFmt w:val="decimal"/>
      <w:lvlText w:val="%1."/>
      <w:legacy w:legacy="1" w:legacySpace="0" w:legacyIndent="283"/>
      <w:lvlJc w:val="left"/>
      <w:pPr>
        <w:ind w:left="283" w:hanging="283"/>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2D415F05"/>
    <w:multiLevelType w:val="hybridMultilevel"/>
    <w:tmpl w:val="515C8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F1746A5"/>
    <w:multiLevelType w:val="hybridMultilevel"/>
    <w:tmpl w:val="C8FC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7042F"/>
    <w:multiLevelType w:val="multilevel"/>
    <w:tmpl w:val="E2186E1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8055BED"/>
    <w:multiLevelType w:val="hybridMultilevel"/>
    <w:tmpl w:val="B59CA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B23773A"/>
    <w:multiLevelType w:val="hybridMultilevel"/>
    <w:tmpl w:val="A1722B48"/>
    <w:lvl w:ilvl="0" w:tplc="8F24F25E">
      <w:start w:val="5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5B70D1"/>
    <w:multiLevelType w:val="hybridMultilevel"/>
    <w:tmpl w:val="61EAE6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3DB79C7"/>
    <w:multiLevelType w:val="hybridMultilevel"/>
    <w:tmpl w:val="0E72812E"/>
    <w:lvl w:ilvl="0" w:tplc="596AAD86">
      <w:start w:val="1"/>
      <w:numFmt w:val="bullet"/>
      <w:pStyle w:val="Prrafodelista"/>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D987F00"/>
    <w:multiLevelType w:val="hybridMultilevel"/>
    <w:tmpl w:val="35F2FD88"/>
    <w:lvl w:ilvl="0" w:tplc="A6549338">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3203052"/>
    <w:multiLevelType w:val="hybridMultilevel"/>
    <w:tmpl w:val="CE982DD6"/>
    <w:lvl w:ilvl="0" w:tplc="7D386CDC">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0376B93"/>
    <w:multiLevelType w:val="hybridMultilevel"/>
    <w:tmpl w:val="55BEA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A0047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C41E0F"/>
    <w:multiLevelType w:val="hybridMultilevel"/>
    <w:tmpl w:val="26B8A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4"/>
  </w:num>
  <w:num w:numId="5">
    <w:abstractNumId w:val="7"/>
  </w:num>
  <w:num w:numId="6">
    <w:abstractNumId w:val="2"/>
  </w:num>
  <w:num w:numId="7">
    <w:abstractNumId w:val="6"/>
  </w:num>
  <w:num w:numId="8">
    <w:abstractNumId w:val="5"/>
  </w:num>
  <w:num w:numId="9">
    <w:abstractNumId w:val="10"/>
  </w:num>
  <w:num w:numId="10">
    <w:abstractNumId w:val="13"/>
  </w:num>
  <w:num w:numId="11">
    <w:abstractNumId w:val="4"/>
  </w:num>
  <w:num w:numId="12">
    <w:abstractNumId w:val="1"/>
  </w:num>
  <w:num w:numId="13">
    <w:abstractNumId w:val="15"/>
  </w:num>
  <w:num w:numId="14">
    <w:abstractNumId w:val="3"/>
  </w:num>
  <w:num w:numId="15">
    <w:abstractNumId w:val="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9F"/>
    <w:rsid w:val="0000082D"/>
    <w:rsid w:val="000014C9"/>
    <w:rsid w:val="00001DBE"/>
    <w:rsid w:val="000037E1"/>
    <w:rsid w:val="00004846"/>
    <w:rsid w:val="00010A55"/>
    <w:rsid w:val="00041C38"/>
    <w:rsid w:val="00042576"/>
    <w:rsid w:val="000426EA"/>
    <w:rsid w:val="00043DB1"/>
    <w:rsid w:val="00044484"/>
    <w:rsid w:val="00044912"/>
    <w:rsid w:val="000511B3"/>
    <w:rsid w:val="000527A1"/>
    <w:rsid w:val="00056FDD"/>
    <w:rsid w:val="000623A3"/>
    <w:rsid w:val="00062C39"/>
    <w:rsid w:val="000650CE"/>
    <w:rsid w:val="00065DEF"/>
    <w:rsid w:val="000769B5"/>
    <w:rsid w:val="00080B46"/>
    <w:rsid w:val="00082D6E"/>
    <w:rsid w:val="00091425"/>
    <w:rsid w:val="000921D8"/>
    <w:rsid w:val="000A03F9"/>
    <w:rsid w:val="000A17A8"/>
    <w:rsid w:val="000A3320"/>
    <w:rsid w:val="000B0FF3"/>
    <w:rsid w:val="000B3EAA"/>
    <w:rsid w:val="000B441D"/>
    <w:rsid w:val="000C1FF8"/>
    <w:rsid w:val="000C2A9B"/>
    <w:rsid w:val="000D1FDA"/>
    <w:rsid w:val="000D2702"/>
    <w:rsid w:val="000E04F6"/>
    <w:rsid w:val="000E3398"/>
    <w:rsid w:val="000E3F55"/>
    <w:rsid w:val="000E51CB"/>
    <w:rsid w:val="000E7740"/>
    <w:rsid w:val="000F78FF"/>
    <w:rsid w:val="0010436A"/>
    <w:rsid w:val="0010568C"/>
    <w:rsid w:val="00106B5F"/>
    <w:rsid w:val="00111B06"/>
    <w:rsid w:val="0011287D"/>
    <w:rsid w:val="00113616"/>
    <w:rsid w:val="00113957"/>
    <w:rsid w:val="00117634"/>
    <w:rsid w:val="00121A30"/>
    <w:rsid w:val="00123548"/>
    <w:rsid w:val="00124CB2"/>
    <w:rsid w:val="0013071D"/>
    <w:rsid w:val="00130922"/>
    <w:rsid w:val="00133459"/>
    <w:rsid w:val="00135793"/>
    <w:rsid w:val="00136599"/>
    <w:rsid w:val="00136671"/>
    <w:rsid w:val="001431C3"/>
    <w:rsid w:val="00147624"/>
    <w:rsid w:val="00147BE7"/>
    <w:rsid w:val="00151F86"/>
    <w:rsid w:val="00161CF2"/>
    <w:rsid w:val="00162D81"/>
    <w:rsid w:val="0016625F"/>
    <w:rsid w:val="00171A44"/>
    <w:rsid w:val="0017364E"/>
    <w:rsid w:val="00173EDC"/>
    <w:rsid w:val="00174F68"/>
    <w:rsid w:val="0017593B"/>
    <w:rsid w:val="00195F98"/>
    <w:rsid w:val="001A757A"/>
    <w:rsid w:val="001B1459"/>
    <w:rsid w:val="001B7A29"/>
    <w:rsid w:val="001C1A83"/>
    <w:rsid w:val="001E0847"/>
    <w:rsid w:val="001E53BE"/>
    <w:rsid w:val="001E6C82"/>
    <w:rsid w:val="001E7B5E"/>
    <w:rsid w:val="001F20EE"/>
    <w:rsid w:val="001F22A5"/>
    <w:rsid w:val="001F67C1"/>
    <w:rsid w:val="00205AD8"/>
    <w:rsid w:val="00205F60"/>
    <w:rsid w:val="002077A5"/>
    <w:rsid w:val="00211AE9"/>
    <w:rsid w:val="00214DBA"/>
    <w:rsid w:val="00242D26"/>
    <w:rsid w:val="002431DC"/>
    <w:rsid w:val="0024798D"/>
    <w:rsid w:val="002508B8"/>
    <w:rsid w:val="00251B0F"/>
    <w:rsid w:val="00254337"/>
    <w:rsid w:val="00254FB5"/>
    <w:rsid w:val="002554DE"/>
    <w:rsid w:val="00256D1E"/>
    <w:rsid w:val="002630A0"/>
    <w:rsid w:val="002648AE"/>
    <w:rsid w:val="00280C25"/>
    <w:rsid w:val="0028298C"/>
    <w:rsid w:val="002854D5"/>
    <w:rsid w:val="00292029"/>
    <w:rsid w:val="00295E9B"/>
    <w:rsid w:val="002A0D04"/>
    <w:rsid w:val="002A18E0"/>
    <w:rsid w:val="002B1AD7"/>
    <w:rsid w:val="002B41AE"/>
    <w:rsid w:val="002B5537"/>
    <w:rsid w:val="002B62FE"/>
    <w:rsid w:val="002C0981"/>
    <w:rsid w:val="002C0B7B"/>
    <w:rsid w:val="002C4E77"/>
    <w:rsid w:val="002C6CB5"/>
    <w:rsid w:val="002C6E43"/>
    <w:rsid w:val="002D390C"/>
    <w:rsid w:val="002E2AAB"/>
    <w:rsid w:val="002E63CB"/>
    <w:rsid w:val="002F7F7A"/>
    <w:rsid w:val="0030027E"/>
    <w:rsid w:val="003037A0"/>
    <w:rsid w:val="003038C0"/>
    <w:rsid w:val="00306C33"/>
    <w:rsid w:val="003073E6"/>
    <w:rsid w:val="003103BF"/>
    <w:rsid w:val="00311C85"/>
    <w:rsid w:val="0031261B"/>
    <w:rsid w:val="00314E11"/>
    <w:rsid w:val="00317804"/>
    <w:rsid w:val="0032003D"/>
    <w:rsid w:val="003228E7"/>
    <w:rsid w:val="00326926"/>
    <w:rsid w:val="00330F6F"/>
    <w:rsid w:val="00334044"/>
    <w:rsid w:val="0033469B"/>
    <w:rsid w:val="00335A90"/>
    <w:rsid w:val="00343878"/>
    <w:rsid w:val="00344B1E"/>
    <w:rsid w:val="003460F4"/>
    <w:rsid w:val="00351E7B"/>
    <w:rsid w:val="003550DD"/>
    <w:rsid w:val="003676C7"/>
    <w:rsid w:val="00373CAC"/>
    <w:rsid w:val="0037754E"/>
    <w:rsid w:val="00384CD3"/>
    <w:rsid w:val="0038757C"/>
    <w:rsid w:val="00390AC6"/>
    <w:rsid w:val="00393A0B"/>
    <w:rsid w:val="003A075C"/>
    <w:rsid w:val="003A10A6"/>
    <w:rsid w:val="003A33AB"/>
    <w:rsid w:val="003A5C06"/>
    <w:rsid w:val="003A73C8"/>
    <w:rsid w:val="003B0B68"/>
    <w:rsid w:val="003B307C"/>
    <w:rsid w:val="003B5673"/>
    <w:rsid w:val="003B71FF"/>
    <w:rsid w:val="003C1FAA"/>
    <w:rsid w:val="003C6086"/>
    <w:rsid w:val="003C7C88"/>
    <w:rsid w:val="003D17F0"/>
    <w:rsid w:val="003D5B61"/>
    <w:rsid w:val="003E663E"/>
    <w:rsid w:val="003F159F"/>
    <w:rsid w:val="003F4DB8"/>
    <w:rsid w:val="003F4FB6"/>
    <w:rsid w:val="003F759A"/>
    <w:rsid w:val="003F7824"/>
    <w:rsid w:val="003F7B65"/>
    <w:rsid w:val="0040669B"/>
    <w:rsid w:val="004075A2"/>
    <w:rsid w:val="0040770B"/>
    <w:rsid w:val="00410756"/>
    <w:rsid w:val="004125EE"/>
    <w:rsid w:val="00413779"/>
    <w:rsid w:val="0041506F"/>
    <w:rsid w:val="004157C7"/>
    <w:rsid w:val="0041703A"/>
    <w:rsid w:val="00422DFA"/>
    <w:rsid w:val="00425BBC"/>
    <w:rsid w:val="00427A67"/>
    <w:rsid w:val="004301D5"/>
    <w:rsid w:val="00430725"/>
    <w:rsid w:val="004375FA"/>
    <w:rsid w:val="004432B6"/>
    <w:rsid w:val="004435B5"/>
    <w:rsid w:val="00450ED9"/>
    <w:rsid w:val="0045129E"/>
    <w:rsid w:val="0045213E"/>
    <w:rsid w:val="004544A9"/>
    <w:rsid w:val="00460D3B"/>
    <w:rsid w:val="00462CCD"/>
    <w:rsid w:val="0046760C"/>
    <w:rsid w:val="0048184F"/>
    <w:rsid w:val="00481D96"/>
    <w:rsid w:val="00482841"/>
    <w:rsid w:val="0048397A"/>
    <w:rsid w:val="00483E31"/>
    <w:rsid w:val="004867DA"/>
    <w:rsid w:val="00493413"/>
    <w:rsid w:val="00494FA4"/>
    <w:rsid w:val="00495CB3"/>
    <w:rsid w:val="00497011"/>
    <w:rsid w:val="004A12B8"/>
    <w:rsid w:val="004A32F7"/>
    <w:rsid w:val="004A46B6"/>
    <w:rsid w:val="004A4AC9"/>
    <w:rsid w:val="004A4C70"/>
    <w:rsid w:val="004A6759"/>
    <w:rsid w:val="004B75A7"/>
    <w:rsid w:val="004C2C53"/>
    <w:rsid w:val="004D0EDD"/>
    <w:rsid w:val="004D33B9"/>
    <w:rsid w:val="004D391F"/>
    <w:rsid w:val="004E042B"/>
    <w:rsid w:val="004E2504"/>
    <w:rsid w:val="004E3855"/>
    <w:rsid w:val="004E44CE"/>
    <w:rsid w:val="004E53BB"/>
    <w:rsid w:val="004F0465"/>
    <w:rsid w:val="004F1341"/>
    <w:rsid w:val="004F1386"/>
    <w:rsid w:val="004F26E8"/>
    <w:rsid w:val="004F4749"/>
    <w:rsid w:val="004F5317"/>
    <w:rsid w:val="004F72AC"/>
    <w:rsid w:val="0050415A"/>
    <w:rsid w:val="0050487C"/>
    <w:rsid w:val="005051BA"/>
    <w:rsid w:val="005075E2"/>
    <w:rsid w:val="0051118F"/>
    <w:rsid w:val="00511D6A"/>
    <w:rsid w:val="00513F99"/>
    <w:rsid w:val="00521637"/>
    <w:rsid w:val="00522B47"/>
    <w:rsid w:val="00530FCA"/>
    <w:rsid w:val="005337EF"/>
    <w:rsid w:val="00533B12"/>
    <w:rsid w:val="005346B4"/>
    <w:rsid w:val="005355D0"/>
    <w:rsid w:val="0053701E"/>
    <w:rsid w:val="005403DC"/>
    <w:rsid w:val="005403F4"/>
    <w:rsid w:val="00542CBD"/>
    <w:rsid w:val="00542FE3"/>
    <w:rsid w:val="005468CE"/>
    <w:rsid w:val="005477EE"/>
    <w:rsid w:val="00554863"/>
    <w:rsid w:val="00564D96"/>
    <w:rsid w:val="00576AD9"/>
    <w:rsid w:val="00581FBB"/>
    <w:rsid w:val="005907C7"/>
    <w:rsid w:val="00593977"/>
    <w:rsid w:val="005A1212"/>
    <w:rsid w:val="005A2B6F"/>
    <w:rsid w:val="005A3524"/>
    <w:rsid w:val="005A4C9A"/>
    <w:rsid w:val="005A55EB"/>
    <w:rsid w:val="005A7A3C"/>
    <w:rsid w:val="005C209E"/>
    <w:rsid w:val="005C375D"/>
    <w:rsid w:val="005C3C85"/>
    <w:rsid w:val="005D31F0"/>
    <w:rsid w:val="005D5AD2"/>
    <w:rsid w:val="005D7AFE"/>
    <w:rsid w:val="005E2534"/>
    <w:rsid w:val="005E2B33"/>
    <w:rsid w:val="005E3876"/>
    <w:rsid w:val="005E45FD"/>
    <w:rsid w:val="005E61F5"/>
    <w:rsid w:val="005E7F90"/>
    <w:rsid w:val="005F3ADD"/>
    <w:rsid w:val="006074E5"/>
    <w:rsid w:val="006116E2"/>
    <w:rsid w:val="00612FC7"/>
    <w:rsid w:val="00613BAD"/>
    <w:rsid w:val="00614AF5"/>
    <w:rsid w:val="0061569A"/>
    <w:rsid w:val="0061643E"/>
    <w:rsid w:val="006179D0"/>
    <w:rsid w:val="00620589"/>
    <w:rsid w:val="0062175A"/>
    <w:rsid w:val="006228E8"/>
    <w:rsid w:val="006254C3"/>
    <w:rsid w:val="00632BE5"/>
    <w:rsid w:val="00632CD1"/>
    <w:rsid w:val="0064099C"/>
    <w:rsid w:val="00653487"/>
    <w:rsid w:val="00661454"/>
    <w:rsid w:val="00664C96"/>
    <w:rsid w:val="00671F46"/>
    <w:rsid w:val="0068012F"/>
    <w:rsid w:val="006815CC"/>
    <w:rsid w:val="00690D83"/>
    <w:rsid w:val="00692242"/>
    <w:rsid w:val="006957EC"/>
    <w:rsid w:val="006A1BAF"/>
    <w:rsid w:val="006A2993"/>
    <w:rsid w:val="006A4FB2"/>
    <w:rsid w:val="006A7341"/>
    <w:rsid w:val="006B1CE6"/>
    <w:rsid w:val="006C1DBA"/>
    <w:rsid w:val="006C22C7"/>
    <w:rsid w:val="006C425A"/>
    <w:rsid w:val="006D1AC3"/>
    <w:rsid w:val="006D6B5C"/>
    <w:rsid w:val="006D6E17"/>
    <w:rsid w:val="006E038C"/>
    <w:rsid w:val="006E03BE"/>
    <w:rsid w:val="006E3811"/>
    <w:rsid w:val="006E4C4F"/>
    <w:rsid w:val="006E590A"/>
    <w:rsid w:val="006E5EBF"/>
    <w:rsid w:val="006F0644"/>
    <w:rsid w:val="006F438C"/>
    <w:rsid w:val="006F505A"/>
    <w:rsid w:val="00700FD4"/>
    <w:rsid w:val="00702AF0"/>
    <w:rsid w:val="007075D2"/>
    <w:rsid w:val="00710466"/>
    <w:rsid w:val="00723BC8"/>
    <w:rsid w:val="00726924"/>
    <w:rsid w:val="00730D2F"/>
    <w:rsid w:val="007336BD"/>
    <w:rsid w:val="00741BC9"/>
    <w:rsid w:val="007421C9"/>
    <w:rsid w:val="00745810"/>
    <w:rsid w:val="0074642A"/>
    <w:rsid w:val="00753E07"/>
    <w:rsid w:val="007547B0"/>
    <w:rsid w:val="007550A2"/>
    <w:rsid w:val="0076279C"/>
    <w:rsid w:val="00762F34"/>
    <w:rsid w:val="0076375A"/>
    <w:rsid w:val="00767748"/>
    <w:rsid w:val="007679EE"/>
    <w:rsid w:val="00767B41"/>
    <w:rsid w:val="00774688"/>
    <w:rsid w:val="007756DE"/>
    <w:rsid w:val="00776EB0"/>
    <w:rsid w:val="0077740D"/>
    <w:rsid w:val="00782A96"/>
    <w:rsid w:val="00782DBF"/>
    <w:rsid w:val="00794C7F"/>
    <w:rsid w:val="00794E16"/>
    <w:rsid w:val="00795979"/>
    <w:rsid w:val="0079655E"/>
    <w:rsid w:val="00797C9F"/>
    <w:rsid w:val="00797F7B"/>
    <w:rsid w:val="007A3CD8"/>
    <w:rsid w:val="007A4A5F"/>
    <w:rsid w:val="007A7525"/>
    <w:rsid w:val="007A7A7B"/>
    <w:rsid w:val="007B211B"/>
    <w:rsid w:val="007B4ACC"/>
    <w:rsid w:val="007B4D30"/>
    <w:rsid w:val="007B739B"/>
    <w:rsid w:val="007C086E"/>
    <w:rsid w:val="007C2071"/>
    <w:rsid w:val="007D31AC"/>
    <w:rsid w:val="007D48FB"/>
    <w:rsid w:val="007D6576"/>
    <w:rsid w:val="007D6A73"/>
    <w:rsid w:val="007D6C6C"/>
    <w:rsid w:val="007E2AF9"/>
    <w:rsid w:val="007E2D4A"/>
    <w:rsid w:val="007E56C7"/>
    <w:rsid w:val="007E6A35"/>
    <w:rsid w:val="007F0AE6"/>
    <w:rsid w:val="007F1E69"/>
    <w:rsid w:val="007F539B"/>
    <w:rsid w:val="007F6C2F"/>
    <w:rsid w:val="0080044C"/>
    <w:rsid w:val="00804C17"/>
    <w:rsid w:val="00807076"/>
    <w:rsid w:val="008073B6"/>
    <w:rsid w:val="00815232"/>
    <w:rsid w:val="00815FEF"/>
    <w:rsid w:val="008167A4"/>
    <w:rsid w:val="00816F6D"/>
    <w:rsid w:val="0082422B"/>
    <w:rsid w:val="008321FB"/>
    <w:rsid w:val="0083500A"/>
    <w:rsid w:val="008352C2"/>
    <w:rsid w:val="0083715F"/>
    <w:rsid w:val="00852F3F"/>
    <w:rsid w:val="008554E3"/>
    <w:rsid w:val="00857B9B"/>
    <w:rsid w:val="00865DD9"/>
    <w:rsid w:val="00877021"/>
    <w:rsid w:val="00877FA3"/>
    <w:rsid w:val="00883339"/>
    <w:rsid w:val="008909F1"/>
    <w:rsid w:val="008A0745"/>
    <w:rsid w:val="008A75EF"/>
    <w:rsid w:val="008B0D70"/>
    <w:rsid w:val="008B15A6"/>
    <w:rsid w:val="008B1EEE"/>
    <w:rsid w:val="008B2E8A"/>
    <w:rsid w:val="008B321B"/>
    <w:rsid w:val="008B5C9E"/>
    <w:rsid w:val="008C539E"/>
    <w:rsid w:val="008C5621"/>
    <w:rsid w:val="008D6527"/>
    <w:rsid w:val="008E0482"/>
    <w:rsid w:val="008E390E"/>
    <w:rsid w:val="008E3BCF"/>
    <w:rsid w:val="008F2171"/>
    <w:rsid w:val="008F3B17"/>
    <w:rsid w:val="008F45F1"/>
    <w:rsid w:val="008F5802"/>
    <w:rsid w:val="008F7A1B"/>
    <w:rsid w:val="008F7E33"/>
    <w:rsid w:val="00903DDE"/>
    <w:rsid w:val="00905348"/>
    <w:rsid w:val="00910642"/>
    <w:rsid w:val="009225CA"/>
    <w:rsid w:val="00926B8F"/>
    <w:rsid w:val="00930317"/>
    <w:rsid w:val="00933441"/>
    <w:rsid w:val="009354BF"/>
    <w:rsid w:val="00946960"/>
    <w:rsid w:val="00946ED1"/>
    <w:rsid w:val="00946F58"/>
    <w:rsid w:val="00953141"/>
    <w:rsid w:val="00955896"/>
    <w:rsid w:val="00955F40"/>
    <w:rsid w:val="00956814"/>
    <w:rsid w:val="009569CC"/>
    <w:rsid w:val="00964F4A"/>
    <w:rsid w:val="00967973"/>
    <w:rsid w:val="009708D5"/>
    <w:rsid w:val="00973184"/>
    <w:rsid w:val="00977B90"/>
    <w:rsid w:val="009925A9"/>
    <w:rsid w:val="00992D40"/>
    <w:rsid w:val="00996A70"/>
    <w:rsid w:val="009A0E71"/>
    <w:rsid w:val="009A25C9"/>
    <w:rsid w:val="009A2BD9"/>
    <w:rsid w:val="009A42C0"/>
    <w:rsid w:val="009B1A62"/>
    <w:rsid w:val="009B1B8B"/>
    <w:rsid w:val="009B2384"/>
    <w:rsid w:val="009B23F2"/>
    <w:rsid w:val="009B25DF"/>
    <w:rsid w:val="009B2CDE"/>
    <w:rsid w:val="009B2ECB"/>
    <w:rsid w:val="009B37E3"/>
    <w:rsid w:val="009B4E14"/>
    <w:rsid w:val="009B4E83"/>
    <w:rsid w:val="009B52AF"/>
    <w:rsid w:val="009B67E0"/>
    <w:rsid w:val="009B70EE"/>
    <w:rsid w:val="009C0170"/>
    <w:rsid w:val="009C3B8B"/>
    <w:rsid w:val="009D265E"/>
    <w:rsid w:val="009D32B3"/>
    <w:rsid w:val="009D64D5"/>
    <w:rsid w:val="009E32D7"/>
    <w:rsid w:val="009F48A2"/>
    <w:rsid w:val="00A009EC"/>
    <w:rsid w:val="00A01775"/>
    <w:rsid w:val="00A0194D"/>
    <w:rsid w:val="00A02644"/>
    <w:rsid w:val="00A02668"/>
    <w:rsid w:val="00A0576E"/>
    <w:rsid w:val="00A070D3"/>
    <w:rsid w:val="00A11BBF"/>
    <w:rsid w:val="00A149F1"/>
    <w:rsid w:val="00A15D61"/>
    <w:rsid w:val="00A17FA5"/>
    <w:rsid w:val="00A303E1"/>
    <w:rsid w:val="00A32816"/>
    <w:rsid w:val="00A4268C"/>
    <w:rsid w:val="00A43E80"/>
    <w:rsid w:val="00A451C2"/>
    <w:rsid w:val="00A47159"/>
    <w:rsid w:val="00A50DA7"/>
    <w:rsid w:val="00A57153"/>
    <w:rsid w:val="00A64B47"/>
    <w:rsid w:val="00A65497"/>
    <w:rsid w:val="00A66D55"/>
    <w:rsid w:val="00A71E6F"/>
    <w:rsid w:val="00A73CA5"/>
    <w:rsid w:val="00A7418B"/>
    <w:rsid w:val="00A7633B"/>
    <w:rsid w:val="00A80C4B"/>
    <w:rsid w:val="00A839D0"/>
    <w:rsid w:val="00A856FA"/>
    <w:rsid w:val="00A86234"/>
    <w:rsid w:val="00A87633"/>
    <w:rsid w:val="00A87928"/>
    <w:rsid w:val="00A9054B"/>
    <w:rsid w:val="00A90A9D"/>
    <w:rsid w:val="00A97CD2"/>
    <w:rsid w:val="00AA0FC7"/>
    <w:rsid w:val="00AB1533"/>
    <w:rsid w:val="00AB59EC"/>
    <w:rsid w:val="00AC0376"/>
    <w:rsid w:val="00AC03C6"/>
    <w:rsid w:val="00AC0809"/>
    <w:rsid w:val="00AC1346"/>
    <w:rsid w:val="00AC5D71"/>
    <w:rsid w:val="00AC69A0"/>
    <w:rsid w:val="00AD0F15"/>
    <w:rsid w:val="00AD2543"/>
    <w:rsid w:val="00AE0B0C"/>
    <w:rsid w:val="00AE30AC"/>
    <w:rsid w:val="00AE36E9"/>
    <w:rsid w:val="00AE3E7C"/>
    <w:rsid w:val="00AE616B"/>
    <w:rsid w:val="00AE6876"/>
    <w:rsid w:val="00AE7276"/>
    <w:rsid w:val="00AF334B"/>
    <w:rsid w:val="00AF7D84"/>
    <w:rsid w:val="00B027C7"/>
    <w:rsid w:val="00B060DA"/>
    <w:rsid w:val="00B0709E"/>
    <w:rsid w:val="00B101D7"/>
    <w:rsid w:val="00B1263D"/>
    <w:rsid w:val="00B1434E"/>
    <w:rsid w:val="00B14D0F"/>
    <w:rsid w:val="00B17DD9"/>
    <w:rsid w:val="00B203F6"/>
    <w:rsid w:val="00B2296C"/>
    <w:rsid w:val="00B237FA"/>
    <w:rsid w:val="00B31FDD"/>
    <w:rsid w:val="00B32187"/>
    <w:rsid w:val="00B32FAD"/>
    <w:rsid w:val="00B368B6"/>
    <w:rsid w:val="00B36A79"/>
    <w:rsid w:val="00B40089"/>
    <w:rsid w:val="00B46E35"/>
    <w:rsid w:val="00B548DC"/>
    <w:rsid w:val="00B646B7"/>
    <w:rsid w:val="00B73A61"/>
    <w:rsid w:val="00B84F8F"/>
    <w:rsid w:val="00B92576"/>
    <w:rsid w:val="00BA20F8"/>
    <w:rsid w:val="00BA6DD1"/>
    <w:rsid w:val="00BB2E35"/>
    <w:rsid w:val="00BB752A"/>
    <w:rsid w:val="00BC5FE5"/>
    <w:rsid w:val="00BC7A15"/>
    <w:rsid w:val="00BD1E86"/>
    <w:rsid w:val="00BD43FA"/>
    <w:rsid w:val="00BD6009"/>
    <w:rsid w:val="00BE0883"/>
    <w:rsid w:val="00BE1028"/>
    <w:rsid w:val="00BE17E5"/>
    <w:rsid w:val="00BE221D"/>
    <w:rsid w:val="00BE5007"/>
    <w:rsid w:val="00BE7902"/>
    <w:rsid w:val="00BF22C5"/>
    <w:rsid w:val="00BF3C78"/>
    <w:rsid w:val="00BF5E10"/>
    <w:rsid w:val="00BF6465"/>
    <w:rsid w:val="00BF7602"/>
    <w:rsid w:val="00C01B3F"/>
    <w:rsid w:val="00C0302D"/>
    <w:rsid w:val="00C06341"/>
    <w:rsid w:val="00C11D2C"/>
    <w:rsid w:val="00C12930"/>
    <w:rsid w:val="00C1311B"/>
    <w:rsid w:val="00C13FB3"/>
    <w:rsid w:val="00C25EBF"/>
    <w:rsid w:val="00C2647F"/>
    <w:rsid w:val="00C2679F"/>
    <w:rsid w:val="00C27999"/>
    <w:rsid w:val="00C3106D"/>
    <w:rsid w:val="00C3300D"/>
    <w:rsid w:val="00C3376C"/>
    <w:rsid w:val="00C35F90"/>
    <w:rsid w:val="00C37EC2"/>
    <w:rsid w:val="00C37F02"/>
    <w:rsid w:val="00C4245F"/>
    <w:rsid w:val="00C521F5"/>
    <w:rsid w:val="00C56ACE"/>
    <w:rsid w:val="00C57E13"/>
    <w:rsid w:val="00C7008B"/>
    <w:rsid w:val="00C70D21"/>
    <w:rsid w:val="00C718D4"/>
    <w:rsid w:val="00C72EB4"/>
    <w:rsid w:val="00C757EA"/>
    <w:rsid w:val="00C80C72"/>
    <w:rsid w:val="00C81262"/>
    <w:rsid w:val="00C85AF4"/>
    <w:rsid w:val="00C85EAB"/>
    <w:rsid w:val="00C961BD"/>
    <w:rsid w:val="00C9711C"/>
    <w:rsid w:val="00C979EF"/>
    <w:rsid w:val="00CA1C06"/>
    <w:rsid w:val="00CA46AF"/>
    <w:rsid w:val="00CA619C"/>
    <w:rsid w:val="00CA6ACA"/>
    <w:rsid w:val="00CA723C"/>
    <w:rsid w:val="00CB2CCD"/>
    <w:rsid w:val="00CB4F19"/>
    <w:rsid w:val="00CB62F3"/>
    <w:rsid w:val="00CB74C9"/>
    <w:rsid w:val="00CC20DB"/>
    <w:rsid w:val="00CC2428"/>
    <w:rsid w:val="00CC6ACA"/>
    <w:rsid w:val="00CD01A0"/>
    <w:rsid w:val="00CD11B7"/>
    <w:rsid w:val="00CD4FF2"/>
    <w:rsid w:val="00CD6563"/>
    <w:rsid w:val="00CE0985"/>
    <w:rsid w:val="00CE13FD"/>
    <w:rsid w:val="00CE15AA"/>
    <w:rsid w:val="00CE57F5"/>
    <w:rsid w:val="00CE71E3"/>
    <w:rsid w:val="00CF211F"/>
    <w:rsid w:val="00CF2FE9"/>
    <w:rsid w:val="00D0421E"/>
    <w:rsid w:val="00D0777C"/>
    <w:rsid w:val="00D116DC"/>
    <w:rsid w:val="00D17DC8"/>
    <w:rsid w:val="00D2188E"/>
    <w:rsid w:val="00D2205D"/>
    <w:rsid w:val="00D240A2"/>
    <w:rsid w:val="00D26FC4"/>
    <w:rsid w:val="00D26FE8"/>
    <w:rsid w:val="00D30BAB"/>
    <w:rsid w:val="00D30F42"/>
    <w:rsid w:val="00D320C3"/>
    <w:rsid w:val="00D34B31"/>
    <w:rsid w:val="00D35558"/>
    <w:rsid w:val="00D366AC"/>
    <w:rsid w:val="00D4606E"/>
    <w:rsid w:val="00D53419"/>
    <w:rsid w:val="00D54460"/>
    <w:rsid w:val="00D55ED7"/>
    <w:rsid w:val="00D5762A"/>
    <w:rsid w:val="00D62CD5"/>
    <w:rsid w:val="00D645D6"/>
    <w:rsid w:val="00D64CDE"/>
    <w:rsid w:val="00D67DC1"/>
    <w:rsid w:val="00D716D9"/>
    <w:rsid w:val="00D7244B"/>
    <w:rsid w:val="00D76758"/>
    <w:rsid w:val="00D778FE"/>
    <w:rsid w:val="00D804ED"/>
    <w:rsid w:val="00D84E37"/>
    <w:rsid w:val="00D858BB"/>
    <w:rsid w:val="00D92909"/>
    <w:rsid w:val="00D9697A"/>
    <w:rsid w:val="00D97F05"/>
    <w:rsid w:val="00DA0195"/>
    <w:rsid w:val="00DA0A01"/>
    <w:rsid w:val="00DB116E"/>
    <w:rsid w:val="00DB504F"/>
    <w:rsid w:val="00DB530F"/>
    <w:rsid w:val="00DB548E"/>
    <w:rsid w:val="00DB6252"/>
    <w:rsid w:val="00DB6F94"/>
    <w:rsid w:val="00DC0C6B"/>
    <w:rsid w:val="00DC0EEB"/>
    <w:rsid w:val="00DC59F1"/>
    <w:rsid w:val="00DD08A9"/>
    <w:rsid w:val="00DD63DF"/>
    <w:rsid w:val="00DE2C5B"/>
    <w:rsid w:val="00DE3756"/>
    <w:rsid w:val="00DE6D35"/>
    <w:rsid w:val="00DE7CE3"/>
    <w:rsid w:val="00DF0F71"/>
    <w:rsid w:val="00DF195B"/>
    <w:rsid w:val="00DF1A62"/>
    <w:rsid w:val="00DF3FC6"/>
    <w:rsid w:val="00DF414D"/>
    <w:rsid w:val="00DF6D87"/>
    <w:rsid w:val="00DF6F3A"/>
    <w:rsid w:val="00DF7C10"/>
    <w:rsid w:val="00E01760"/>
    <w:rsid w:val="00E02911"/>
    <w:rsid w:val="00E11032"/>
    <w:rsid w:val="00E138A8"/>
    <w:rsid w:val="00E13A9F"/>
    <w:rsid w:val="00E14251"/>
    <w:rsid w:val="00E14BA1"/>
    <w:rsid w:val="00E20F35"/>
    <w:rsid w:val="00E2414D"/>
    <w:rsid w:val="00E26FA4"/>
    <w:rsid w:val="00E42FBA"/>
    <w:rsid w:val="00E44889"/>
    <w:rsid w:val="00E46FE1"/>
    <w:rsid w:val="00E47FA7"/>
    <w:rsid w:val="00E5745B"/>
    <w:rsid w:val="00E63B4B"/>
    <w:rsid w:val="00E65A85"/>
    <w:rsid w:val="00E74DEC"/>
    <w:rsid w:val="00E771B3"/>
    <w:rsid w:val="00E80452"/>
    <w:rsid w:val="00E80DDD"/>
    <w:rsid w:val="00E82E2F"/>
    <w:rsid w:val="00E907D4"/>
    <w:rsid w:val="00E92E23"/>
    <w:rsid w:val="00E95598"/>
    <w:rsid w:val="00E968B5"/>
    <w:rsid w:val="00E970CF"/>
    <w:rsid w:val="00EA6095"/>
    <w:rsid w:val="00EA6FE9"/>
    <w:rsid w:val="00EA7222"/>
    <w:rsid w:val="00EB1BD2"/>
    <w:rsid w:val="00EB69D7"/>
    <w:rsid w:val="00EB77C9"/>
    <w:rsid w:val="00EC1345"/>
    <w:rsid w:val="00EC4657"/>
    <w:rsid w:val="00EC4844"/>
    <w:rsid w:val="00ED4767"/>
    <w:rsid w:val="00ED5EE2"/>
    <w:rsid w:val="00EE040B"/>
    <w:rsid w:val="00EE05DB"/>
    <w:rsid w:val="00EE13BD"/>
    <w:rsid w:val="00EE2CC1"/>
    <w:rsid w:val="00EE3406"/>
    <w:rsid w:val="00EE50D2"/>
    <w:rsid w:val="00EE512F"/>
    <w:rsid w:val="00EF0C3C"/>
    <w:rsid w:val="00EF6408"/>
    <w:rsid w:val="00EF714D"/>
    <w:rsid w:val="00F0097A"/>
    <w:rsid w:val="00F036F0"/>
    <w:rsid w:val="00F04286"/>
    <w:rsid w:val="00F06F24"/>
    <w:rsid w:val="00F140D8"/>
    <w:rsid w:val="00F14955"/>
    <w:rsid w:val="00F16C7E"/>
    <w:rsid w:val="00F205CF"/>
    <w:rsid w:val="00F212E5"/>
    <w:rsid w:val="00F23BBB"/>
    <w:rsid w:val="00F25665"/>
    <w:rsid w:val="00F31F01"/>
    <w:rsid w:val="00F33BE6"/>
    <w:rsid w:val="00F3555B"/>
    <w:rsid w:val="00F41AD1"/>
    <w:rsid w:val="00F50B04"/>
    <w:rsid w:val="00F52E6E"/>
    <w:rsid w:val="00F52EE1"/>
    <w:rsid w:val="00F56A66"/>
    <w:rsid w:val="00F57C7A"/>
    <w:rsid w:val="00F61A7C"/>
    <w:rsid w:val="00F62896"/>
    <w:rsid w:val="00F639D3"/>
    <w:rsid w:val="00F654C2"/>
    <w:rsid w:val="00F67362"/>
    <w:rsid w:val="00F715CC"/>
    <w:rsid w:val="00F87965"/>
    <w:rsid w:val="00F905E8"/>
    <w:rsid w:val="00F926D9"/>
    <w:rsid w:val="00FA0D04"/>
    <w:rsid w:val="00FA127F"/>
    <w:rsid w:val="00FA2DA0"/>
    <w:rsid w:val="00FB0FDB"/>
    <w:rsid w:val="00FB32A1"/>
    <w:rsid w:val="00FB35D4"/>
    <w:rsid w:val="00FC25E2"/>
    <w:rsid w:val="00FC310F"/>
    <w:rsid w:val="00FC5A03"/>
    <w:rsid w:val="00FD0F0B"/>
    <w:rsid w:val="00FD22D1"/>
    <w:rsid w:val="00FD3F10"/>
    <w:rsid w:val="00FD47B0"/>
    <w:rsid w:val="00FD7131"/>
    <w:rsid w:val="00FE2328"/>
    <w:rsid w:val="00FE2FA3"/>
    <w:rsid w:val="00FF0A16"/>
    <w:rsid w:val="00FF2423"/>
    <w:rsid w:val="00FF41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2679F"/>
    <w:rPr>
      <w:rFonts w:ascii="Arial" w:eastAsia="Times New Roman" w:hAnsi="Arial" w:cs="Arial"/>
      <w:szCs w:val="24"/>
      <w:lang w:eastAsia="en-US"/>
    </w:rPr>
  </w:style>
  <w:style w:type="paragraph" w:styleId="Ttulo1">
    <w:name w:val="heading 1"/>
    <w:basedOn w:val="Normal"/>
    <w:next w:val="Normal"/>
    <w:link w:val="Ttulo1Car"/>
    <w:uiPriority w:val="9"/>
    <w:qFormat/>
    <w:rsid w:val="0068012F"/>
    <w:pPr>
      <w:spacing w:before="240" w:after="240"/>
      <w:jc w:val="both"/>
      <w:outlineLvl w:val="0"/>
    </w:pPr>
    <w:rPr>
      <w:b/>
      <w:caps/>
      <w:sz w:val="24"/>
    </w:rPr>
  </w:style>
  <w:style w:type="paragraph" w:styleId="Ttulo2">
    <w:name w:val="heading 2"/>
    <w:basedOn w:val="Ttulo1"/>
    <w:next w:val="Normal"/>
    <w:link w:val="Ttulo2Car"/>
    <w:uiPriority w:val="9"/>
    <w:unhideWhenUsed/>
    <w:qFormat/>
    <w:rsid w:val="0068012F"/>
    <w:pPr>
      <w:numPr>
        <w:ilvl w:val="1"/>
        <w:numId w:val="7"/>
      </w:numPr>
      <w:ind w:left="0" w:hanging="567"/>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Redcentaur1">
    <w:name w:val="Redcentaur1"/>
    <w:basedOn w:val="Tablanormal"/>
    <w:uiPriority w:val="99"/>
    <w:rsid w:val="00E95598"/>
    <w:tblPr>
      <w:tblInd w:w="0" w:type="dxa"/>
      <w:tblCellMar>
        <w:top w:w="0" w:type="dxa"/>
        <w:left w:w="108" w:type="dxa"/>
        <w:bottom w:w="0" w:type="dxa"/>
        <w:right w:w="108" w:type="dxa"/>
      </w:tblCellMar>
    </w:tblPr>
  </w:style>
  <w:style w:type="character" w:styleId="Refdecomentario">
    <w:name w:val="annotation reference"/>
    <w:uiPriority w:val="99"/>
    <w:semiHidden/>
    <w:unhideWhenUsed/>
    <w:rsid w:val="00C2679F"/>
    <w:rPr>
      <w:sz w:val="16"/>
      <w:szCs w:val="16"/>
    </w:rPr>
  </w:style>
  <w:style w:type="paragraph" w:styleId="Textocomentario">
    <w:name w:val="annotation text"/>
    <w:basedOn w:val="Normal"/>
    <w:link w:val="TextocomentarioCar"/>
    <w:uiPriority w:val="99"/>
    <w:unhideWhenUsed/>
    <w:rsid w:val="00C2679F"/>
    <w:rPr>
      <w:szCs w:val="20"/>
    </w:rPr>
  </w:style>
  <w:style w:type="character" w:customStyle="1" w:styleId="TextocomentarioCar">
    <w:name w:val="Texto comentario Car"/>
    <w:link w:val="Textocomentario"/>
    <w:uiPriority w:val="99"/>
    <w:rsid w:val="00C2679F"/>
    <w:rPr>
      <w:rFonts w:ascii="Arial" w:eastAsia="Times New Roman" w:hAnsi="Arial" w:cs="Arial"/>
      <w:sz w:val="20"/>
      <w:szCs w:val="20"/>
    </w:rPr>
  </w:style>
  <w:style w:type="paragraph" w:styleId="Textodeglobo">
    <w:name w:val="Balloon Text"/>
    <w:basedOn w:val="Normal"/>
    <w:link w:val="TextodegloboCar"/>
    <w:uiPriority w:val="99"/>
    <w:semiHidden/>
    <w:unhideWhenUsed/>
    <w:rsid w:val="00C2679F"/>
    <w:rPr>
      <w:rFonts w:ascii="Tahoma" w:hAnsi="Tahoma" w:cs="Tahoma"/>
      <w:sz w:val="16"/>
      <w:szCs w:val="16"/>
    </w:rPr>
  </w:style>
  <w:style w:type="character" w:customStyle="1" w:styleId="TextodegloboCar">
    <w:name w:val="Texto de globo Car"/>
    <w:link w:val="Textodeglobo"/>
    <w:uiPriority w:val="99"/>
    <w:semiHidden/>
    <w:rsid w:val="00C2679F"/>
    <w:rPr>
      <w:rFonts w:ascii="Tahoma" w:eastAsia="Times New Roman" w:hAnsi="Tahoma" w:cs="Tahoma"/>
      <w:sz w:val="16"/>
      <w:szCs w:val="16"/>
    </w:rPr>
  </w:style>
  <w:style w:type="paragraph" w:styleId="Ttulo">
    <w:name w:val="Title"/>
    <w:basedOn w:val="Normal"/>
    <w:next w:val="Normal"/>
    <w:link w:val="TtuloCar"/>
    <w:uiPriority w:val="10"/>
    <w:qFormat/>
    <w:rsid w:val="00C2679F"/>
    <w:pPr>
      <w:spacing w:after="240"/>
      <w:jc w:val="center"/>
    </w:pPr>
    <w:rPr>
      <w:b/>
      <w:caps/>
      <w:sz w:val="24"/>
      <w:szCs w:val="22"/>
    </w:rPr>
  </w:style>
  <w:style w:type="character" w:customStyle="1" w:styleId="TtuloCar">
    <w:name w:val="Título Car"/>
    <w:link w:val="Ttulo"/>
    <w:uiPriority w:val="10"/>
    <w:rsid w:val="00C2679F"/>
    <w:rPr>
      <w:rFonts w:ascii="Arial" w:eastAsia="Times New Roman" w:hAnsi="Arial" w:cs="Arial"/>
      <w:b/>
      <w:caps/>
      <w:sz w:val="24"/>
    </w:rPr>
  </w:style>
  <w:style w:type="paragraph" w:customStyle="1" w:styleId="AuthorsName">
    <w:name w:val="Author's Name"/>
    <w:basedOn w:val="Normal"/>
    <w:link w:val="AuthorsNameChar"/>
    <w:qFormat/>
    <w:rsid w:val="00C2679F"/>
    <w:pPr>
      <w:jc w:val="center"/>
    </w:pPr>
    <w:rPr>
      <w:rFonts w:ascii="Calibri" w:hAnsi="Calibri"/>
      <w:sz w:val="22"/>
      <w:szCs w:val="22"/>
    </w:rPr>
  </w:style>
  <w:style w:type="character" w:customStyle="1" w:styleId="Ttulo1Car">
    <w:name w:val="Título 1 Car"/>
    <w:link w:val="Ttulo1"/>
    <w:uiPriority w:val="9"/>
    <w:rsid w:val="0068012F"/>
    <w:rPr>
      <w:rFonts w:ascii="Arial" w:eastAsia="Times New Roman" w:hAnsi="Arial" w:cs="Arial"/>
      <w:b/>
      <w:caps/>
      <w:sz w:val="24"/>
      <w:szCs w:val="24"/>
      <w:lang w:eastAsia="en-US"/>
    </w:rPr>
  </w:style>
  <w:style w:type="character" w:customStyle="1" w:styleId="AuthorsNameChar">
    <w:name w:val="Author's Name Char"/>
    <w:link w:val="AuthorsName"/>
    <w:rsid w:val="00C2679F"/>
    <w:rPr>
      <w:rFonts w:ascii="Calibri" w:eastAsia="Times New Roman" w:hAnsi="Calibri" w:cs="Arial"/>
    </w:rPr>
  </w:style>
  <w:style w:type="paragraph" w:customStyle="1" w:styleId="Text">
    <w:name w:val="Text"/>
    <w:basedOn w:val="Normal"/>
    <w:link w:val="TextChar"/>
    <w:qFormat/>
    <w:rsid w:val="0068012F"/>
    <w:pPr>
      <w:spacing w:after="240" w:line="300" w:lineRule="auto"/>
      <w:jc w:val="both"/>
    </w:pPr>
    <w:rPr>
      <w:sz w:val="24"/>
    </w:rPr>
  </w:style>
  <w:style w:type="paragraph" w:customStyle="1" w:styleId="Subheading">
    <w:name w:val="Subheading"/>
    <w:basedOn w:val="Normal"/>
    <w:link w:val="SubheadingChar"/>
    <w:qFormat/>
    <w:rsid w:val="0068012F"/>
    <w:pPr>
      <w:keepNext/>
      <w:spacing w:before="480" w:after="240"/>
      <w:jc w:val="both"/>
    </w:pPr>
    <w:rPr>
      <w:b/>
      <w:caps/>
      <w:sz w:val="24"/>
    </w:rPr>
  </w:style>
  <w:style w:type="character" w:customStyle="1" w:styleId="TextChar">
    <w:name w:val="Text Char"/>
    <w:link w:val="Text"/>
    <w:rsid w:val="0068012F"/>
    <w:rPr>
      <w:rFonts w:ascii="Arial" w:eastAsia="Times New Roman" w:hAnsi="Arial" w:cs="Arial"/>
      <w:sz w:val="24"/>
      <w:szCs w:val="24"/>
    </w:rPr>
  </w:style>
  <w:style w:type="paragraph" w:customStyle="1" w:styleId="Numbernotes">
    <w:name w:val="Number notes"/>
    <w:basedOn w:val="Normal"/>
    <w:link w:val="NumbernotesChar"/>
    <w:qFormat/>
    <w:rsid w:val="00B40089"/>
    <w:rPr>
      <w:sz w:val="18"/>
      <w:szCs w:val="18"/>
      <w:vertAlign w:val="superscript"/>
    </w:rPr>
  </w:style>
  <w:style w:type="character" w:customStyle="1" w:styleId="SubheadingChar">
    <w:name w:val="Subheading Char"/>
    <w:link w:val="Subheading"/>
    <w:rsid w:val="0068012F"/>
    <w:rPr>
      <w:rFonts w:ascii="Arial" w:eastAsia="Times New Roman" w:hAnsi="Arial" w:cs="Arial"/>
      <w:b/>
      <w:caps/>
      <w:sz w:val="24"/>
      <w:szCs w:val="24"/>
    </w:rPr>
  </w:style>
  <w:style w:type="paragraph" w:customStyle="1" w:styleId="Bibliographyreferences">
    <w:name w:val="Bibliography references"/>
    <w:basedOn w:val="Normal"/>
    <w:link w:val="BibliographyreferencesChar"/>
    <w:qFormat/>
    <w:rsid w:val="00B40089"/>
    <w:pPr>
      <w:spacing w:after="240"/>
      <w:jc w:val="both"/>
    </w:pPr>
    <w:rPr>
      <w:sz w:val="24"/>
    </w:rPr>
  </w:style>
  <w:style w:type="character" w:customStyle="1" w:styleId="NumbernotesChar">
    <w:name w:val="Number notes Char"/>
    <w:link w:val="Numbernotes"/>
    <w:rsid w:val="00B40089"/>
    <w:rPr>
      <w:rFonts w:ascii="Arial" w:eastAsia="Times New Roman" w:hAnsi="Arial" w:cs="Arial"/>
      <w:sz w:val="18"/>
      <w:szCs w:val="18"/>
      <w:vertAlign w:val="superscript"/>
    </w:rPr>
  </w:style>
  <w:style w:type="character" w:customStyle="1" w:styleId="Ttulo2Car">
    <w:name w:val="Título 2 Car"/>
    <w:link w:val="Ttulo2"/>
    <w:uiPriority w:val="9"/>
    <w:rsid w:val="0068012F"/>
    <w:rPr>
      <w:rFonts w:ascii="Arial" w:eastAsia="Times New Roman" w:hAnsi="Arial" w:cs="Arial"/>
      <w:b/>
      <w:sz w:val="24"/>
      <w:szCs w:val="24"/>
    </w:rPr>
  </w:style>
  <w:style w:type="character" w:customStyle="1" w:styleId="BibliographyreferencesChar">
    <w:name w:val="Bibliography references Char"/>
    <w:link w:val="Bibliographyreferences"/>
    <w:rsid w:val="00B40089"/>
    <w:rPr>
      <w:rFonts w:ascii="Arial" w:eastAsia="Times New Roman" w:hAnsi="Arial" w:cs="Arial"/>
      <w:sz w:val="24"/>
      <w:szCs w:val="24"/>
    </w:rPr>
  </w:style>
  <w:style w:type="paragraph" w:styleId="Encabezado">
    <w:name w:val="header"/>
    <w:basedOn w:val="Normal"/>
    <w:link w:val="EncabezadoCar"/>
    <w:uiPriority w:val="99"/>
    <w:unhideWhenUsed/>
    <w:rsid w:val="005A55EB"/>
    <w:pPr>
      <w:tabs>
        <w:tab w:val="center" w:pos="4513"/>
        <w:tab w:val="right" w:pos="9026"/>
      </w:tabs>
    </w:pPr>
  </w:style>
  <w:style w:type="character" w:customStyle="1" w:styleId="EncabezadoCar">
    <w:name w:val="Encabezado Car"/>
    <w:link w:val="Encabezado"/>
    <w:uiPriority w:val="99"/>
    <w:rsid w:val="005A55EB"/>
    <w:rPr>
      <w:rFonts w:ascii="Arial" w:eastAsia="Times New Roman" w:hAnsi="Arial" w:cs="Arial"/>
      <w:sz w:val="20"/>
      <w:szCs w:val="24"/>
    </w:rPr>
  </w:style>
  <w:style w:type="paragraph" w:styleId="Piedepgina">
    <w:name w:val="footer"/>
    <w:basedOn w:val="Normal"/>
    <w:link w:val="PiedepginaCar"/>
    <w:uiPriority w:val="99"/>
    <w:unhideWhenUsed/>
    <w:rsid w:val="005A55EB"/>
    <w:pPr>
      <w:tabs>
        <w:tab w:val="center" w:pos="4513"/>
        <w:tab w:val="right" w:pos="9026"/>
      </w:tabs>
    </w:pPr>
  </w:style>
  <w:style w:type="character" w:customStyle="1" w:styleId="PiedepginaCar">
    <w:name w:val="Pie de página Car"/>
    <w:link w:val="Piedepgina"/>
    <w:uiPriority w:val="99"/>
    <w:rsid w:val="005A55EB"/>
    <w:rPr>
      <w:rFonts w:ascii="Arial" w:eastAsia="Times New Roman" w:hAnsi="Arial" w:cs="Arial"/>
      <w:sz w:val="20"/>
      <w:szCs w:val="24"/>
    </w:rPr>
  </w:style>
  <w:style w:type="paragraph" w:customStyle="1" w:styleId="PageNumber1">
    <w:name w:val="Page Number1"/>
    <w:basedOn w:val="Piedepgina"/>
    <w:link w:val="PagenumberChar"/>
    <w:qFormat/>
    <w:rsid w:val="005A55EB"/>
    <w:pPr>
      <w:jc w:val="center"/>
    </w:pPr>
    <w:rPr>
      <w:sz w:val="24"/>
    </w:rPr>
  </w:style>
  <w:style w:type="paragraph" w:customStyle="1" w:styleId="copyright">
    <w:name w:val="copyright"/>
    <w:basedOn w:val="PageNumber1"/>
    <w:link w:val="copyrightChar"/>
    <w:qFormat/>
    <w:rsid w:val="005A55EB"/>
    <w:pPr>
      <w:jc w:val="left"/>
    </w:pPr>
    <w:rPr>
      <w:sz w:val="20"/>
      <w:szCs w:val="20"/>
    </w:rPr>
  </w:style>
  <w:style w:type="character" w:customStyle="1" w:styleId="PagenumberChar">
    <w:name w:val="Page number Char"/>
    <w:link w:val="PageNumber1"/>
    <w:rsid w:val="005A55EB"/>
    <w:rPr>
      <w:rFonts w:ascii="Arial" w:eastAsia="Times New Roman" w:hAnsi="Arial" w:cs="Arial"/>
      <w:sz w:val="24"/>
      <w:szCs w:val="24"/>
    </w:rPr>
  </w:style>
  <w:style w:type="character" w:styleId="nfasis">
    <w:name w:val="Emphasis"/>
    <w:uiPriority w:val="20"/>
    <w:qFormat/>
    <w:rsid w:val="005A55EB"/>
    <w:rPr>
      <w:i/>
      <w:iCs/>
    </w:rPr>
  </w:style>
  <w:style w:type="character" w:customStyle="1" w:styleId="copyrightChar">
    <w:name w:val="copyright Char"/>
    <w:link w:val="copyright"/>
    <w:rsid w:val="005A55EB"/>
    <w:rPr>
      <w:rFonts w:ascii="Arial" w:eastAsia="Times New Roman" w:hAnsi="Arial" w:cs="Arial"/>
      <w:sz w:val="20"/>
      <w:szCs w:val="20"/>
    </w:rPr>
  </w:style>
  <w:style w:type="character" w:styleId="Textoennegrita">
    <w:name w:val="Strong"/>
    <w:uiPriority w:val="22"/>
    <w:qFormat/>
    <w:rsid w:val="005A55EB"/>
    <w:rPr>
      <w:b/>
      <w:bCs/>
    </w:rPr>
  </w:style>
  <w:style w:type="paragraph" w:styleId="Prrafodelista">
    <w:name w:val="List Paragraph"/>
    <w:basedOn w:val="Normal"/>
    <w:uiPriority w:val="34"/>
    <w:qFormat/>
    <w:rsid w:val="005C3C85"/>
    <w:pPr>
      <w:numPr>
        <w:numId w:val="9"/>
      </w:numPr>
      <w:spacing w:after="120" w:line="288" w:lineRule="auto"/>
      <w:ind w:left="0" w:hanging="284"/>
    </w:pPr>
    <w:rPr>
      <w:sz w:val="24"/>
    </w:rPr>
  </w:style>
  <w:style w:type="paragraph" w:styleId="Asuntodelcomentario">
    <w:name w:val="annotation subject"/>
    <w:basedOn w:val="Textocomentario"/>
    <w:next w:val="Textocomentario"/>
    <w:link w:val="AsuntodelcomentarioCar"/>
    <w:uiPriority w:val="99"/>
    <w:semiHidden/>
    <w:unhideWhenUsed/>
    <w:rsid w:val="009569CC"/>
    <w:rPr>
      <w:b/>
      <w:bCs/>
    </w:rPr>
  </w:style>
  <w:style w:type="character" w:customStyle="1" w:styleId="AsuntodelcomentarioCar">
    <w:name w:val="Asunto del comentario Car"/>
    <w:basedOn w:val="TextocomentarioCar"/>
    <w:link w:val="Asuntodelcomentario"/>
    <w:uiPriority w:val="99"/>
    <w:semiHidden/>
    <w:rsid w:val="009569CC"/>
    <w:rPr>
      <w:rFonts w:ascii="Arial" w:eastAsia="Times New Roman" w:hAnsi="Arial" w:cs="Arial"/>
      <w:b/>
      <w:bCs/>
      <w:sz w:val="20"/>
      <w:szCs w:val="20"/>
      <w:lang w:eastAsia="en-US"/>
    </w:rPr>
  </w:style>
  <w:style w:type="paragraph" w:styleId="Bibliografa">
    <w:name w:val="Bibliography"/>
    <w:basedOn w:val="Normal"/>
    <w:next w:val="Normal"/>
    <w:uiPriority w:val="37"/>
    <w:unhideWhenUsed/>
    <w:rsid w:val="00EE3406"/>
    <w:pPr>
      <w:spacing w:line="480" w:lineRule="auto"/>
      <w:ind w:left="720" w:hanging="720"/>
    </w:pPr>
  </w:style>
  <w:style w:type="table" w:styleId="Sombreadoclaro">
    <w:name w:val="Light Shading"/>
    <w:basedOn w:val="Tablanormal"/>
    <w:uiPriority w:val="60"/>
    <w:rsid w:val="004435B5"/>
    <w:rPr>
      <w:color w:val="000000" w:themeColor="text1" w:themeShade="BF"/>
      <w:lang w:val="es-E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6A1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64F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2679F"/>
    <w:rPr>
      <w:rFonts w:ascii="Arial" w:eastAsia="Times New Roman" w:hAnsi="Arial" w:cs="Arial"/>
      <w:szCs w:val="24"/>
      <w:lang w:eastAsia="en-US"/>
    </w:rPr>
  </w:style>
  <w:style w:type="paragraph" w:styleId="Ttulo1">
    <w:name w:val="heading 1"/>
    <w:basedOn w:val="Normal"/>
    <w:next w:val="Normal"/>
    <w:link w:val="Ttulo1Car"/>
    <w:uiPriority w:val="9"/>
    <w:qFormat/>
    <w:rsid w:val="0068012F"/>
    <w:pPr>
      <w:spacing w:before="240" w:after="240"/>
      <w:jc w:val="both"/>
      <w:outlineLvl w:val="0"/>
    </w:pPr>
    <w:rPr>
      <w:b/>
      <w:caps/>
      <w:sz w:val="24"/>
    </w:rPr>
  </w:style>
  <w:style w:type="paragraph" w:styleId="Ttulo2">
    <w:name w:val="heading 2"/>
    <w:basedOn w:val="Ttulo1"/>
    <w:next w:val="Normal"/>
    <w:link w:val="Ttulo2Car"/>
    <w:uiPriority w:val="9"/>
    <w:unhideWhenUsed/>
    <w:qFormat/>
    <w:rsid w:val="0068012F"/>
    <w:pPr>
      <w:numPr>
        <w:ilvl w:val="1"/>
        <w:numId w:val="7"/>
      </w:numPr>
      <w:ind w:left="0" w:hanging="567"/>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Redcentaur1">
    <w:name w:val="Redcentaur1"/>
    <w:basedOn w:val="Tablanormal"/>
    <w:uiPriority w:val="99"/>
    <w:rsid w:val="00E95598"/>
    <w:tblPr>
      <w:tblInd w:w="0" w:type="dxa"/>
      <w:tblCellMar>
        <w:top w:w="0" w:type="dxa"/>
        <w:left w:w="108" w:type="dxa"/>
        <w:bottom w:w="0" w:type="dxa"/>
        <w:right w:w="108" w:type="dxa"/>
      </w:tblCellMar>
    </w:tblPr>
  </w:style>
  <w:style w:type="character" w:styleId="Refdecomentario">
    <w:name w:val="annotation reference"/>
    <w:uiPriority w:val="99"/>
    <w:semiHidden/>
    <w:unhideWhenUsed/>
    <w:rsid w:val="00C2679F"/>
    <w:rPr>
      <w:sz w:val="16"/>
      <w:szCs w:val="16"/>
    </w:rPr>
  </w:style>
  <w:style w:type="paragraph" w:styleId="Textocomentario">
    <w:name w:val="annotation text"/>
    <w:basedOn w:val="Normal"/>
    <w:link w:val="TextocomentarioCar"/>
    <w:uiPriority w:val="99"/>
    <w:unhideWhenUsed/>
    <w:rsid w:val="00C2679F"/>
    <w:rPr>
      <w:szCs w:val="20"/>
    </w:rPr>
  </w:style>
  <w:style w:type="character" w:customStyle="1" w:styleId="TextocomentarioCar">
    <w:name w:val="Texto comentario Car"/>
    <w:link w:val="Textocomentario"/>
    <w:uiPriority w:val="99"/>
    <w:rsid w:val="00C2679F"/>
    <w:rPr>
      <w:rFonts w:ascii="Arial" w:eastAsia="Times New Roman" w:hAnsi="Arial" w:cs="Arial"/>
      <w:sz w:val="20"/>
      <w:szCs w:val="20"/>
    </w:rPr>
  </w:style>
  <w:style w:type="paragraph" w:styleId="Textodeglobo">
    <w:name w:val="Balloon Text"/>
    <w:basedOn w:val="Normal"/>
    <w:link w:val="TextodegloboCar"/>
    <w:uiPriority w:val="99"/>
    <w:semiHidden/>
    <w:unhideWhenUsed/>
    <w:rsid w:val="00C2679F"/>
    <w:rPr>
      <w:rFonts w:ascii="Tahoma" w:hAnsi="Tahoma" w:cs="Tahoma"/>
      <w:sz w:val="16"/>
      <w:szCs w:val="16"/>
    </w:rPr>
  </w:style>
  <w:style w:type="character" w:customStyle="1" w:styleId="TextodegloboCar">
    <w:name w:val="Texto de globo Car"/>
    <w:link w:val="Textodeglobo"/>
    <w:uiPriority w:val="99"/>
    <w:semiHidden/>
    <w:rsid w:val="00C2679F"/>
    <w:rPr>
      <w:rFonts w:ascii="Tahoma" w:eastAsia="Times New Roman" w:hAnsi="Tahoma" w:cs="Tahoma"/>
      <w:sz w:val="16"/>
      <w:szCs w:val="16"/>
    </w:rPr>
  </w:style>
  <w:style w:type="paragraph" w:styleId="Ttulo">
    <w:name w:val="Title"/>
    <w:basedOn w:val="Normal"/>
    <w:next w:val="Normal"/>
    <w:link w:val="TtuloCar"/>
    <w:uiPriority w:val="10"/>
    <w:qFormat/>
    <w:rsid w:val="00C2679F"/>
    <w:pPr>
      <w:spacing w:after="240"/>
      <w:jc w:val="center"/>
    </w:pPr>
    <w:rPr>
      <w:b/>
      <w:caps/>
      <w:sz w:val="24"/>
      <w:szCs w:val="22"/>
    </w:rPr>
  </w:style>
  <w:style w:type="character" w:customStyle="1" w:styleId="TtuloCar">
    <w:name w:val="Título Car"/>
    <w:link w:val="Ttulo"/>
    <w:uiPriority w:val="10"/>
    <w:rsid w:val="00C2679F"/>
    <w:rPr>
      <w:rFonts w:ascii="Arial" w:eastAsia="Times New Roman" w:hAnsi="Arial" w:cs="Arial"/>
      <w:b/>
      <w:caps/>
      <w:sz w:val="24"/>
    </w:rPr>
  </w:style>
  <w:style w:type="paragraph" w:customStyle="1" w:styleId="AuthorsName">
    <w:name w:val="Author's Name"/>
    <w:basedOn w:val="Normal"/>
    <w:link w:val="AuthorsNameChar"/>
    <w:qFormat/>
    <w:rsid w:val="00C2679F"/>
    <w:pPr>
      <w:jc w:val="center"/>
    </w:pPr>
    <w:rPr>
      <w:rFonts w:ascii="Calibri" w:hAnsi="Calibri"/>
      <w:sz w:val="22"/>
      <w:szCs w:val="22"/>
    </w:rPr>
  </w:style>
  <w:style w:type="character" w:customStyle="1" w:styleId="Ttulo1Car">
    <w:name w:val="Título 1 Car"/>
    <w:link w:val="Ttulo1"/>
    <w:uiPriority w:val="9"/>
    <w:rsid w:val="0068012F"/>
    <w:rPr>
      <w:rFonts w:ascii="Arial" w:eastAsia="Times New Roman" w:hAnsi="Arial" w:cs="Arial"/>
      <w:b/>
      <w:caps/>
      <w:sz w:val="24"/>
      <w:szCs w:val="24"/>
      <w:lang w:eastAsia="en-US"/>
    </w:rPr>
  </w:style>
  <w:style w:type="character" w:customStyle="1" w:styleId="AuthorsNameChar">
    <w:name w:val="Author's Name Char"/>
    <w:link w:val="AuthorsName"/>
    <w:rsid w:val="00C2679F"/>
    <w:rPr>
      <w:rFonts w:ascii="Calibri" w:eastAsia="Times New Roman" w:hAnsi="Calibri" w:cs="Arial"/>
    </w:rPr>
  </w:style>
  <w:style w:type="paragraph" w:customStyle="1" w:styleId="Text">
    <w:name w:val="Text"/>
    <w:basedOn w:val="Normal"/>
    <w:link w:val="TextChar"/>
    <w:qFormat/>
    <w:rsid w:val="0068012F"/>
    <w:pPr>
      <w:spacing w:after="240" w:line="300" w:lineRule="auto"/>
      <w:jc w:val="both"/>
    </w:pPr>
    <w:rPr>
      <w:sz w:val="24"/>
    </w:rPr>
  </w:style>
  <w:style w:type="paragraph" w:customStyle="1" w:styleId="Subheading">
    <w:name w:val="Subheading"/>
    <w:basedOn w:val="Normal"/>
    <w:link w:val="SubheadingChar"/>
    <w:qFormat/>
    <w:rsid w:val="0068012F"/>
    <w:pPr>
      <w:keepNext/>
      <w:spacing w:before="480" w:after="240"/>
      <w:jc w:val="both"/>
    </w:pPr>
    <w:rPr>
      <w:b/>
      <w:caps/>
      <w:sz w:val="24"/>
    </w:rPr>
  </w:style>
  <w:style w:type="character" w:customStyle="1" w:styleId="TextChar">
    <w:name w:val="Text Char"/>
    <w:link w:val="Text"/>
    <w:rsid w:val="0068012F"/>
    <w:rPr>
      <w:rFonts w:ascii="Arial" w:eastAsia="Times New Roman" w:hAnsi="Arial" w:cs="Arial"/>
      <w:sz w:val="24"/>
      <w:szCs w:val="24"/>
    </w:rPr>
  </w:style>
  <w:style w:type="paragraph" w:customStyle="1" w:styleId="Numbernotes">
    <w:name w:val="Number notes"/>
    <w:basedOn w:val="Normal"/>
    <w:link w:val="NumbernotesChar"/>
    <w:qFormat/>
    <w:rsid w:val="00B40089"/>
    <w:rPr>
      <w:sz w:val="18"/>
      <w:szCs w:val="18"/>
      <w:vertAlign w:val="superscript"/>
    </w:rPr>
  </w:style>
  <w:style w:type="character" w:customStyle="1" w:styleId="SubheadingChar">
    <w:name w:val="Subheading Char"/>
    <w:link w:val="Subheading"/>
    <w:rsid w:val="0068012F"/>
    <w:rPr>
      <w:rFonts w:ascii="Arial" w:eastAsia="Times New Roman" w:hAnsi="Arial" w:cs="Arial"/>
      <w:b/>
      <w:caps/>
      <w:sz w:val="24"/>
      <w:szCs w:val="24"/>
    </w:rPr>
  </w:style>
  <w:style w:type="paragraph" w:customStyle="1" w:styleId="Bibliographyreferences">
    <w:name w:val="Bibliography references"/>
    <w:basedOn w:val="Normal"/>
    <w:link w:val="BibliographyreferencesChar"/>
    <w:qFormat/>
    <w:rsid w:val="00B40089"/>
    <w:pPr>
      <w:spacing w:after="240"/>
      <w:jc w:val="both"/>
    </w:pPr>
    <w:rPr>
      <w:sz w:val="24"/>
    </w:rPr>
  </w:style>
  <w:style w:type="character" w:customStyle="1" w:styleId="NumbernotesChar">
    <w:name w:val="Number notes Char"/>
    <w:link w:val="Numbernotes"/>
    <w:rsid w:val="00B40089"/>
    <w:rPr>
      <w:rFonts w:ascii="Arial" w:eastAsia="Times New Roman" w:hAnsi="Arial" w:cs="Arial"/>
      <w:sz w:val="18"/>
      <w:szCs w:val="18"/>
      <w:vertAlign w:val="superscript"/>
    </w:rPr>
  </w:style>
  <w:style w:type="character" w:customStyle="1" w:styleId="Ttulo2Car">
    <w:name w:val="Título 2 Car"/>
    <w:link w:val="Ttulo2"/>
    <w:uiPriority w:val="9"/>
    <w:rsid w:val="0068012F"/>
    <w:rPr>
      <w:rFonts w:ascii="Arial" w:eastAsia="Times New Roman" w:hAnsi="Arial" w:cs="Arial"/>
      <w:b/>
      <w:sz w:val="24"/>
      <w:szCs w:val="24"/>
    </w:rPr>
  </w:style>
  <w:style w:type="character" w:customStyle="1" w:styleId="BibliographyreferencesChar">
    <w:name w:val="Bibliography references Char"/>
    <w:link w:val="Bibliographyreferences"/>
    <w:rsid w:val="00B40089"/>
    <w:rPr>
      <w:rFonts w:ascii="Arial" w:eastAsia="Times New Roman" w:hAnsi="Arial" w:cs="Arial"/>
      <w:sz w:val="24"/>
      <w:szCs w:val="24"/>
    </w:rPr>
  </w:style>
  <w:style w:type="paragraph" w:styleId="Encabezado">
    <w:name w:val="header"/>
    <w:basedOn w:val="Normal"/>
    <w:link w:val="EncabezadoCar"/>
    <w:uiPriority w:val="99"/>
    <w:unhideWhenUsed/>
    <w:rsid w:val="005A55EB"/>
    <w:pPr>
      <w:tabs>
        <w:tab w:val="center" w:pos="4513"/>
        <w:tab w:val="right" w:pos="9026"/>
      </w:tabs>
    </w:pPr>
  </w:style>
  <w:style w:type="character" w:customStyle="1" w:styleId="EncabezadoCar">
    <w:name w:val="Encabezado Car"/>
    <w:link w:val="Encabezado"/>
    <w:uiPriority w:val="99"/>
    <w:rsid w:val="005A55EB"/>
    <w:rPr>
      <w:rFonts w:ascii="Arial" w:eastAsia="Times New Roman" w:hAnsi="Arial" w:cs="Arial"/>
      <w:sz w:val="20"/>
      <w:szCs w:val="24"/>
    </w:rPr>
  </w:style>
  <w:style w:type="paragraph" w:styleId="Piedepgina">
    <w:name w:val="footer"/>
    <w:basedOn w:val="Normal"/>
    <w:link w:val="PiedepginaCar"/>
    <w:uiPriority w:val="99"/>
    <w:unhideWhenUsed/>
    <w:rsid w:val="005A55EB"/>
    <w:pPr>
      <w:tabs>
        <w:tab w:val="center" w:pos="4513"/>
        <w:tab w:val="right" w:pos="9026"/>
      </w:tabs>
    </w:pPr>
  </w:style>
  <w:style w:type="character" w:customStyle="1" w:styleId="PiedepginaCar">
    <w:name w:val="Pie de página Car"/>
    <w:link w:val="Piedepgina"/>
    <w:uiPriority w:val="99"/>
    <w:rsid w:val="005A55EB"/>
    <w:rPr>
      <w:rFonts w:ascii="Arial" w:eastAsia="Times New Roman" w:hAnsi="Arial" w:cs="Arial"/>
      <w:sz w:val="20"/>
      <w:szCs w:val="24"/>
    </w:rPr>
  </w:style>
  <w:style w:type="paragraph" w:customStyle="1" w:styleId="PageNumber1">
    <w:name w:val="Page Number1"/>
    <w:basedOn w:val="Piedepgina"/>
    <w:link w:val="PagenumberChar"/>
    <w:qFormat/>
    <w:rsid w:val="005A55EB"/>
    <w:pPr>
      <w:jc w:val="center"/>
    </w:pPr>
    <w:rPr>
      <w:sz w:val="24"/>
    </w:rPr>
  </w:style>
  <w:style w:type="paragraph" w:customStyle="1" w:styleId="copyright">
    <w:name w:val="copyright"/>
    <w:basedOn w:val="PageNumber1"/>
    <w:link w:val="copyrightChar"/>
    <w:qFormat/>
    <w:rsid w:val="005A55EB"/>
    <w:pPr>
      <w:jc w:val="left"/>
    </w:pPr>
    <w:rPr>
      <w:sz w:val="20"/>
      <w:szCs w:val="20"/>
    </w:rPr>
  </w:style>
  <w:style w:type="character" w:customStyle="1" w:styleId="PagenumberChar">
    <w:name w:val="Page number Char"/>
    <w:link w:val="PageNumber1"/>
    <w:rsid w:val="005A55EB"/>
    <w:rPr>
      <w:rFonts w:ascii="Arial" w:eastAsia="Times New Roman" w:hAnsi="Arial" w:cs="Arial"/>
      <w:sz w:val="24"/>
      <w:szCs w:val="24"/>
    </w:rPr>
  </w:style>
  <w:style w:type="character" w:styleId="nfasis">
    <w:name w:val="Emphasis"/>
    <w:uiPriority w:val="20"/>
    <w:qFormat/>
    <w:rsid w:val="005A55EB"/>
    <w:rPr>
      <w:i/>
      <w:iCs/>
    </w:rPr>
  </w:style>
  <w:style w:type="character" w:customStyle="1" w:styleId="copyrightChar">
    <w:name w:val="copyright Char"/>
    <w:link w:val="copyright"/>
    <w:rsid w:val="005A55EB"/>
    <w:rPr>
      <w:rFonts w:ascii="Arial" w:eastAsia="Times New Roman" w:hAnsi="Arial" w:cs="Arial"/>
      <w:sz w:val="20"/>
      <w:szCs w:val="20"/>
    </w:rPr>
  </w:style>
  <w:style w:type="character" w:styleId="Textoennegrita">
    <w:name w:val="Strong"/>
    <w:uiPriority w:val="22"/>
    <w:qFormat/>
    <w:rsid w:val="005A55EB"/>
    <w:rPr>
      <w:b/>
      <w:bCs/>
    </w:rPr>
  </w:style>
  <w:style w:type="paragraph" w:styleId="Prrafodelista">
    <w:name w:val="List Paragraph"/>
    <w:basedOn w:val="Normal"/>
    <w:uiPriority w:val="34"/>
    <w:qFormat/>
    <w:rsid w:val="005C3C85"/>
    <w:pPr>
      <w:numPr>
        <w:numId w:val="9"/>
      </w:numPr>
      <w:spacing w:after="120" w:line="288" w:lineRule="auto"/>
      <w:ind w:left="0" w:hanging="284"/>
    </w:pPr>
    <w:rPr>
      <w:sz w:val="24"/>
    </w:rPr>
  </w:style>
  <w:style w:type="paragraph" w:styleId="Asuntodelcomentario">
    <w:name w:val="annotation subject"/>
    <w:basedOn w:val="Textocomentario"/>
    <w:next w:val="Textocomentario"/>
    <w:link w:val="AsuntodelcomentarioCar"/>
    <w:uiPriority w:val="99"/>
    <w:semiHidden/>
    <w:unhideWhenUsed/>
    <w:rsid w:val="009569CC"/>
    <w:rPr>
      <w:b/>
      <w:bCs/>
    </w:rPr>
  </w:style>
  <w:style w:type="character" w:customStyle="1" w:styleId="AsuntodelcomentarioCar">
    <w:name w:val="Asunto del comentario Car"/>
    <w:basedOn w:val="TextocomentarioCar"/>
    <w:link w:val="Asuntodelcomentario"/>
    <w:uiPriority w:val="99"/>
    <w:semiHidden/>
    <w:rsid w:val="009569CC"/>
    <w:rPr>
      <w:rFonts w:ascii="Arial" w:eastAsia="Times New Roman" w:hAnsi="Arial" w:cs="Arial"/>
      <w:b/>
      <w:bCs/>
      <w:sz w:val="20"/>
      <w:szCs w:val="20"/>
      <w:lang w:eastAsia="en-US"/>
    </w:rPr>
  </w:style>
  <w:style w:type="paragraph" w:styleId="Bibliografa">
    <w:name w:val="Bibliography"/>
    <w:basedOn w:val="Normal"/>
    <w:next w:val="Normal"/>
    <w:uiPriority w:val="37"/>
    <w:unhideWhenUsed/>
    <w:rsid w:val="00EE3406"/>
    <w:pPr>
      <w:spacing w:line="480" w:lineRule="auto"/>
      <w:ind w:left="720" w:hanging="720"/>
    </w:pPr>
  </w:style>
  <w:style w:type="table" w:styleId="Sombreadoclaro">
    <w:name w:val="Light Shading"/>
    <w:basedOn w:val="Tablanormal"/>
    <w:uiPriority w:val="60"/>
    <w:rsid w:val="004435B5"/>
    <w:rPr>
      <w:color w:val="000000" w:themeColor="text1" w:themeShade="BF"/>
      <w:lang w:val="es-ES" w:eastAsia="es-E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6A1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64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4807">
      <w:bodyDiv w:val="1"/>
      <w:marLeft w:val="0"/>
      <w:marRight w:val="0"/>
      <w:marTop w:val="0"/>
      <w:marBottom w:val="0"/>
      <w:divBdr>
        <w:top w:val="none" w:sz="0" w:space="0" w:color="auto"/>
        <w:left w:val="none" w:sz="0" w:space="0" w:color="auto"/>
        <w:bottom w:val="none" w:sz="0" w:space="0" w:color="auto"/>
        <w:right w:val="none" w:sz="0" w:space="0" w:color="auto"/>
      </w:divBdr>
    </w:div>
    <w:div w:id="182482253">
      <w:bodyDiv w:val="1"/>
      <w:marLeft w:val="0"/>
      <w:marRight w:val="0"/>
      <w:marTop w:val="0"/>
      <w:marBottom w:val="0"/>
      <w:divBdr>
        <w:top w:val="none" w:sz="0" w:space="0" w:color="auto"/>
        <w:left w:val="none" w:sz="0" w:space="0" w:color="auto"/>
        <w:bottom w:val="none" w:sz="0" w:space="0" w:color="auto"/>
        <w:right w:val="none" w:sz="0" w:space="0" w:color="auto"/>
      </w:divBdr>
    </w:div>
    <w:div w:id="244263516">
      <w:bodyDiv w:val="1"/>
      <w:marLeft w:val="0"/>
      <w:marRight w:val="0"/>
      <w:marTop w:val="0"/>
      <w:marBottom w:val="0"/>
      <w:divBdr>
        <w:top w:val="none" w:sz="0" w:space="0" w:color="auto"/>
        <w:left w:val="none" w:sz="0" w:space="0" w:color="auto"/>
        <w:bottom w:val="none" w:sz="0" w:space="0" w:color="auto"/>
        <w:right w:val="none" w:sz="0" w:space="0" w:color="auto"/>
      </w:divBdr>
    </w:div>
    <w:div w:id="689644045">
      <w:bodyDiv w:val="1"/>
      <w:marLeft w:val="0"/>
      <w:marRight w:val="0"/>
      <w:marTop w:val="0"/>
      <w:marBottom w:val="0"/>
      <w:divBdr>
        <w:top w:val="none" w:sz="0" w:space="0" w:color="auto"/>
        <w:left w:val="none" w:sz="0" w:space="0" w:color="auto"/>
        <w:bottom w:val="none" w:sz="0" w:space="0" w:color="auto"/>
        <w:right w:val="none" w:sz="0" w:space="0" w:color="auto"/>
      </w:divBdr>
    </w:div>
    <w:div w:id="731007063">
      <w:bodyDiv w:val="1"/>
      <w:marLeft w:val="0"/>
      <w:marRight w:val="0"/>
      <w:marTop w:val="0"/>
      <w:marBottom w:val="0"/>
      <w:divBdr>
        <w:top w:val="none" w:sz="0" w:space="0" w:color="auto"/>
        <w:left w:val="none" w:sz="0" w:space="0" w:color="auto"/>
        <w:bottom w:val="none" w:sz="0" w:space="0" w:color="auto"/>
        <w:right w:val="none" w:sz="0" w:space="0" w:color="auto"/>
      </w:divBdr>
    </w:div>
    <w:div w:id="756946828">
      <w:bodyDiv w:val="1"/>
      <w:marLeft w:val="0"/>
      <w:marRight w:val="0"/>
      <w:marTop w:val="0"/>
      <w:marBottom w:val="0"/>
      <w:divBdr>
        <w:top w:val="none" w:sz="0" w:space="0" w:color="auto"/>
        <w:left w:val="none" w:sz="0" w:space="0" w:color="auto"/>
        <w:bottom w:val="none" w:sz="0" w:space="0" w:color="auto"/>
        <w:right w:val="none" w:sz="0" w:space="0" w:color="auto"/>
      </w:divBdr>
    </w:div>
    <w:div w:id="1022781681">
      <w:bodyDiv w:val="1"/>
      <w:marLeft w:val="0"/>
      <w:marRight w:val="0"/>
      <w:marTop w:val="0"/>
      <w:marBottom w:val="0"/>
      <w:divBdr>
        <w:top w:val="none" w:sz="0" w:space="0" w:color="auto"/>
        <w:left w:val="none" w:sz="0" w:space="0" w:color="auto"/>
        <w:bottom w:val="none" w:sz="0" w:space="0" w:color="auto"/>
        <w:right w:val="none" w:sz="0" w:space="0" w:color="auto"/>
      </w:divBdr>
    </w:div>
    <w:div w:id="1130631177">
      <w:bodyDiv w:val="1"/>
      <w:marLeft w:val="0"/>
      <w:marRight w:val="0"/>
      <w:marTop w:val="0"/>
      <w:marBottom w:val="0"/>
      <w:divBdr>
        <w:top w:val="none" w:sz="0" w:space="0" w:color="auto"/>
        <w:left w:val="none" w:sz="0" w:space="0" w:color="auto"/>
        <w:bottom w:val="none" w:sz="0" w:space="0" w:color="auto"/>
        <w:right w:val="none" w:sz="0" w:space="0" w:color="auto"/>
      </w:divBdr>
    </w:div>
    <w:div w:id="1147362167">
      <w:bodyDiv w:val="1"/>
      <w:marLeft w:val="0"/>
      <w:marRight w:val="0"/>
      <w:marTop w:val="0"/>
      <w:marBottom w:val="0"/>
      <w:divBdr>
        <w:top w:val="none" w:sz="0" w:space="0" w:color="auto"/>
        <w:left w:val="none" w:sz="0" w:space="0" w:color="auto"/>
        <w:bottom w:val="none" w:sz="0" w:space="0" w:color="auto"/>
        <w:right w:val="none" w:sz="0" w:space="0" w:color="auto"/>
      </w:divBdr>
    </w:div>
    <w:div w:id="1475759959">
      <w:bodyDiv w:val="1"/>
      <w:marLeft w:val="0"/>
      <w:marRight w:val="0"/>
      <w:marTop w:val="0"/>
      <w:marBottom w:val="0"/>
      <w:divBdr>
        <w:top w:val="none" w:sz="0" w:space="0" w:color="auto"/>
        <w:left w:val="none" w:sz="0" w:space="0" w:color="auto"/>
        <w:bottom w:val="none" w:sz="0" w:space="0" w:color="auto"/>
        <w:right w:val="none" w:sz="0" w:space="0" w:color="auto"/>
      </w:divBdr>
    </w:div>
    <w:div w:id="1685588807">
      <w:bodyDiv w:val="1"/>
      <w:marLeft w:val="0"/>
      <w:marRight w:val="0"/>
      <w:marTop w:val="0"/>
      <w:marBottom w:val="0"/>
      <w:divBdr>
        <w:top w:val="none" w:sz="0" w:space="0" w:color="auto"/>
        <w:left w:val="none" w:sz="0" w:space="0" w:color="auto"/>
        <w:bottom w:val="none" w:sz="0" w:space="0" w:color="auto"/>
        <w:right w:val="none" w:sz="0" w:space="0" w:color="auto"/>
      </w:divBdr>
    </w:div>
    <w:div w:id="1744985768">
      <w:bodyDiv w:val="1"/>
      <w:marLeft w:val="0"/>
      <w:marRight w:val="0"/>
      <w:marTop w:val="0"/>
      <w:marBottom w:val="0"/>
      <w:divBdr>
        <w:top w:val="none" w:sz="0" w:space="0" w:color="auto"/>
        <w:left w:val="none" w:sz="0" w:space="0" w:color="auto"/>
        <w:bottom w:val="none" w:sz="0" w:space="0" w:color="auto"/>
        <w:right w:val="none" w:sz="0" w:space="0" w:color="auto"/>
      </w:divBdr>
    </w:div>
    <w:div w:id="1789543614">
      <w:bodyDiv w:val="1"/>
      <w:marLeft w:val="0"/>
      <w:marRight w:val="0"/>
      <w:marTop w:val="0"/>
      <w:marBottom w:val="0"/>
      <w:divBdr>
        <w:top w:val="none" w:sz="0" w:space="0" w:color="auto"/>
        <w:left w:val="none" w:sz="0" w:space="0" w:color="auto"/>
        <w:bottom w:val="none" w:sz="0" w:space="0" w:color="auto"/>
        <w:right w:val="none" w:sz="0" w:space="0" w:color="auto"/>
      </w:divBdr>
      <w:divsChild>
        <w:div w:id="1838114669">
          <w:marLeft w:val="240"/>
          <w:marRight w:val="90"/>
          <w:marTop w:val="120"/>
          <w:marBottom w:val="75"/>
          <w:divBdr>
            <w:top w:val="none" w:sz="0" w:space="0" w:color="auto"/>
            <w:left w:val="none" w:sz="0" w:space="0" w:color="auto"/>
            <w:bottom w:val="none" w:sz="0" w:space="0" w:color="auto"/>
            <w:right w:val="none" w:sz="0" w:space="0" w:color="auto"/>
          </w:divBdr>
          <w:divsChild>
            <w:div w:id="13947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89298">
      <w:bodyDiv w:val="1"/>
      <w:marLeft w:val="0"/>
      <w:marRight w:val="0"/>
      <w:marTop w:val="0"/>
      <w:marBottom w:val="0"/>
      <w:divBdr>
        <w:top w:val="none" w:sz="0" w:space="0" w:color="auto"/>
        <w:left w:val="none" w:sz="0" w:space="0" w:color="auto"/>
        <w:bottom w:val="none" w:sz="0" w:space="0" w:color="auto"/>
        <w:right w:val="none" w:sz="0" w:space="0" w:color="auto"/>
      </w:divBdr>
      <w:divsChild>
        <w:div w:id="2001689509">
          <w:marLeft w:val="240"/>
          <w:marRight w:val="90"/>
          <w:marTop w:val="120"/>
          <w:marBottom w:val="75"/>
          <w:divBdr>
            <w:top w:val="single" w:sz="6" w:space="8" w:color="C6C6C6"/>
            <w:left w:val="single" w:sz="6" w:space="12" w:color="C6C6C6"/>
            <w:bottom w:val="single" w:sz="6" w:space="6" w:color="C6C6C6"/>
            <w:right w:val="single" w:sz="6" w:space="12" w:color="C6C6C6"/>
          </w:divBdr>
          <w:divsChild>
            <w:div w:id="15625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857">
      <w:bodyDiv w:val="1"/>
      <w:marLeft w:val="0"/>
      <w:marRight w:val="0"/>
      <w:marTop w:val="0"/>
      <w:marBottom w:val="0"/>
      <w:divBdr>
        <w:top w:val="none" w:sz="0" w:space="0" w:color="auto"/>
        <w:left w:val="none" w:sz="0" w:space="0" w:color="auto"/>
        <w:bottom w:val="none" w:sz="0" w:space="0" w:color="auto"/>
        <w:right w:val="none" w:sz="0" w:space="0" w:color="auto"/>
      </w:divBdr>
    </w:div>
    <w:div w:id="20176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D:\USUARIS\v34orzw\Documents\Phd%20Documentation\ETC%20Conference\Creafutur_enquestes%20tabl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UARIS\v34orzw\Documents\Phd%20Documentation\ETC%20Conference\Creafutur_enquestes%20tabl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UARIS\v34orzw\Documents\Phd%20Documentation\ETC%20Conference\Creafutur_enquestes%20tabl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UARIS\v34orzw\Documents\Phd%20Documentation\ETC%20Conference\Creafutur_enquestes%20tabl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UARIS\v34orzw\Documents\Phd%20Documentation\ETC%20Conference\Creafutur_enquestes%20tabl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UARIS\v34orzw\Documents\Phd%20Documentation\ETC%20Conference\Creafutur_enquestes%20tabl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es-ES" sz="1200"/>
              <a:t>Use</a:t>
            </a:r>
            <a:r>
              <a:rPr lang="es-ES" sz="1200" baseline="0"/>
              <a:t> of public transport by gender and daily commuting</a:t>
            </a:r>
            <a:endParaRPr lang="es-ES" sz="1200"/>
          </a:p>
        </c:rich>
      </c:tx>
      <c:overlay val="0"/>
    </c:title>
    <c:autoTitleDeleted val="0"/>
    <c:plotArea>
      <c:layout/>
      <c:barChart>
        <c:barDir val="col"/>
        <c:grouping val="percentStacked"/>
        <c:varyColors val="0"/>
        <c:ser>
          <c:idx val="0"/>
          <c:order val="0"/>
          <c:tx>
            <c:strRef>
              <c:f>Hoja1!$E$44</c:f>
              <c:strCache>
                <c:ptCount val="1"/>
                <c:pt idx="0">
                  <c:v>User of public transport</c:v>
                </c:pt>
              </c:strCache>
            </c:strRef>
          </c:tx>
          <c:invertIfNegative val="0"/>
          <c:cat>
            <c:multiLvlStrRef>
              <c:f>Hoja1!$C$45:$D$50</c:f>
              <c:multiLvlStrCache>
                <c:ptCount val="6"/>
                <c:lvl>
                  <c:pt idx="0">
                    <c:v>Male</c:v>
                  </c:pt>
                  <c:pt idx="1">
                    <c:v>Female</c:v>
                  </c:pt>
                  <c:pt idx="2">
                    <c:v>Male</c:v>
                  </c:pt>
                  <c:pt idx="3">
                    <c:v>Female</c:v>
                  </c:pt>
                  <c:pt idx="4">
                    <c:v>Male</c:v>
                  </c:pt>
                  <c:pt idx="5">
                    <c:v>Female</c:v>
                  </c:pt>
                </c:lvl>
                <c:lvl>
                  <c:pt idx="0">
                    <c:v>Within Barcelona</c:v>
                  </c:pt>
                  <c:pt idx="2">
                    <c:v>From BCN to RMB </c:v>
                  </c:pt>
                  <c:pt idx="4">
                    <c:v>From RMB to BCN</c:v>
                  </c:pt>
                </c:lvl>
              </c:multiLvlStrCache>
            </c:multiLvlStrRef>
          </c:cat>
          <c:val>
            <c:numRef>
              <c:f>Hoja1!$E$45:$E$50</c:f>
              <c:numCache>
                <c:formatCode>0.00%</c:formatCode>
                <c:ptCount val="6"/>
                <c:pt idx="0">
                  <c:v>0.71770000000000023</c:v>
                </c:pt>
                <c:pt idx="1">
                  <c:v>0.77840000000000009</c:v>
                </c:pt>
                <c:pt idx="2">
                  <c:v>0.47960000000000008</c:v>
                </c:pt>
                <c:pt idx="3">
                  <c:v>0.73080000000000023</c:v>
                </c:pt>
                <c:pt idx="4">
                  <c:v>0.37500000000000011</c:v>
                </c:pt>
                <c:pt idx="5">
                  <c:v>0.59260000000000013</c:v>
                </c:pt>
              </c:numCache>
            </c:numRef>
          </c:val>
        </c:ser>
        <c:ser>
          <c:idx val="1"/>
          <c:order val="1"/>
          <c:tx>
            <c:strRef>
              <c:f>Hoja1!$F$44</c:f>
              <c:strCache>
                <c:ptCount val="1"/>
                <c:pt idx="0">
                  <c:v>Non-user of public transport</c:v>
                </c:pt>
              </c:strCache>
            </c:strRef>
          </c:tx>
          <c:invertIfNegative val="0"/>
          <c:cat>
            <c:multiLvlStrRef>
              <c:f>Hoja1!$C$45:$D$50</c:f>
              <c:multiLvlStrCache>
                <c:ptCount val="6"/>
                <c:lvl>
                  <c:pt idx="0">
                    <c:v>Male</c:v>
                  </c:pt>
                  <c:pt idx="1">
                    <c:v>Female</c:v>
                  </c:pt>
                  <c:pt idx="2">
                    <c:v>Male</c:v>
                  </c:pt>
                  <c:pt idx="3">
                    <c:v>Female</c:v>
                  </c:pt>
                  <c:pt idx="4">
                    <c:v>Male</c:v>
                  </c:pt>
                  <c:pt idx="5">
                    <c:v>Female</c:v>
                  </c:pt>
                </c:lvl>
                <c:lvl>
                  <c:pt idx="0">
                    <c:v>Within Barcelona</c:v>
                  </c:pt>
                  <c:pt idx="2">
                    <c:v>From BCN to RMB </c:v>
                  </c:pt>
                  <c:pt idx="4">
                    <c:v>From RMB to BCN</c:v>
                  </c:pt>
                </c:lvl>
              </c:multiLvlStrCache>
            </c:multiLvlStrRef>
          </c:cat>
          <c:val>
            <c:numRef>
              <c:f>Hoja1!$F$45:$F$50</c:f>
              <c:numCache>
                <c:formatCode>0.00%</c:formatCode>
                <c:ptCount val="6"/>
                <c:pt idx="0">
                  <c:v>0.28230000000000011</c:v>
                </c:pt>
                <c:pt idx="1">
                  <c:v>0.22160000000000002</c:v>
                </c:pt>
                <c:pt idx="2">
                  <c:v>0.52039999999999997</c:v>
                </c:pt>
                <c:pt idx="3">
                  <c:v>0.26920000000000005</c:v>
                </c:pt>
                <c:pt idx="4">
                  <c:v>0.62500000000000022</c:v>
                </c:pt>
                <c:pt idx="5">
                  <c:v>0.4074000000000001</c:v>
                </c:pt>
              </c:numCache>
            </c:numRef>
          </c:val>
        </c:ser>
        <c:dLbls>
          <c:showLegendKey val="0"/>
          <c:showVal val="0"/>
          <c:showCatName val="0"/>
          <c:showSerName val="0"/>
          <c:showPercent val="0"/>
          <c:showBubbleSize val="0"/>
        </c:dLbls>
        <c:gapWidth val="75"/>
        <c:overlap val="100"/>
        <c:axId val="138629504"/>
        <c:axId val="138631040"/>
      </c:barChart>
      <c:catAx>
        <c:axId val="138629504"/>
        <c:scaling>
          <c:orientation val="minMax"/>
        </c:scaling>
        <c:delete val="0"/>
        <c:axPos val="b"/>
        <c:majorTickMark val="none"/>
        <c:minorTickMark val="none"/>
        <c:tickLblPos val="nextTo"/>
        <c:crossAx val="138631040"/>
        <c:crosses val="autoZero"/>
        <c:auto val="1"/>
        <c:lblAlgn val="ctr"/>
        <c:lblOffset val="100"/>
        <c:noMultiLvlLbl val="0"/>
      </c:catAx>
      <c:valAx>
        <c:axId val="138631040"/>
        <c:scaling>
          <c:orientation val="minMax"/>
        </c:scaling>
        <c:delete val="0"/>
        <c:axPos val="l"/>
        <c:majorGridlines/>
        <c:numFmt formatCode="0%" sourceLinked="1"/>
        <c:majorTickMark val="none"/>
        <c:minorTickMark val="none"/>
        <c:tickLblPos val="nextTo"/>
        <c:spPr>
          <a:ln w="9525">
            <a:noFill/>
          </a:ln>
        </c:spPr>
        <c:crossAx val="13862950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es-ES" sz="1200" baseline="0"/>
              <a:t>Means of transport used by type of commuting</a:t>
            </a:r>
            <a:endParaRPr lang="es-E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Hoja1!$C$85</c:f>
              <c:strCache>
                <c:ptCount val="1"/>
                <c:pt idx="0">
                  <c:v>BCN-BCN</c:v>
                </c:pt>
              </c:strCache>
            </c:strRef>
          </c:tx>
          <c:invertIfNegative val="0"/>
          <c:cat>
            <c:strRef>
              <c:f>Hoja1!$D$84:$L$84</c:f>
              <c:strCache>
                <c:ptCount val="9"/>
                <c:pt idx="0">
                  <c:v>Bus</c:v>
                </c:pt>
                <c:pt idx="1">
                  <c:v>Underground</c:v>
                </c:pt>
                <c:pt idx="2">
                  <c:v>FGC</c:v>
                </c:pt>
                <c:pt idx="3">
                  <c:v>RENFE</c:v>
                </c:pt>
                <c:pt idx="4">
                  <c:v>Tram</c:v>
                </c:pt>
                <c:pt idx="5">
                  <c:v>Car</c:v>
                </c:pt>
                <c:pt idx="6">
                  <c:v>Motorbike</c:v>
                </c:pt>
                <c:pt idx="7">
                  <c:v>Bycicle / Bicing</c:v>
                </c:pt>
                <c:pt idx="8">
                  <c:v>Taxi</c:v>
                </c:pt>
              </c:strCache>
            </c:strRef>
          </c:cat>
          <c:val>
            <c:numRef>
              <c:f>Hoja1!$D$85:$L$85</c:f>
              <c:numCache>
                <c:formatCode>0.00%</c:formatCode>
                <c:ptCount val="9"/>
                <c:pt idx="0">
                  <c:v>0.41580000000000011</c:v>
                </c:pt>
                <c:pt idx="1">
                  <c:v>0.62890000000000024</c:v>
                </c:pt>
                <c:pt idx="2">
                  <c:v>0.12709999999999999</c:v>
                </c:pt>
                <c:pt idx="3">
                  <c:v>0.14430000000000001</c:v>
                </c:pt>
                <c:pt idx="4">
                  <c:v>4.4700000000000011E-2</c:v>
                </c:pt>
                <c:pt idx="5">
                  <c:v>0.28520000000000001</c:v>
                </c:pt>
                <c:pt idx="6">
                  <c:v>0.15120000000000006</c:v>
                </c:pt>
                <c:pt idx="7">
                  <c:v>0.12709999999999999</c:v>
                </c:pt>
                <c:pt idx="8">
                  <c:v>4.1199999999999987E-2</c:v>
                </c:pt>
              </c:numCache>
            </c:numRef>
          </c:val>
        </c:ser>
        <c:ser>
          <c:idx val="1"/>
          <c:order val="1"/>
          <c:tx>
            <c:strRef>
              <c:f>Hoja1!$C$86</c:f>
              <c:strCache>
                <c:ptCount val="1"/>
                <c:pt idx="0">
                  <c:v>BCN-RMB</c:v>
                </c:pt>
              </c:strCache>
            </c:strRef>
          </c:tx>
          <c:invertIfNegative val="0"/>
          <c:cat>
            <c:strRef>
              <c:f>Hoja1!$D$84:$L$84</c:f>
              <c:strCache>
                <c:ptCount val="9"/>
                <c:pt idx="0">
                  <c:v>Bus</c:v>
                </c:pt>
                <c:pt idx="1">
                  <c:v>Underground</c:v>
                </c:pt>
                <c:pt idx="2">
                  <c:v>FGC</c:v>
                </c:pt>
                <c:pt idx="3">
                  <c:v>RENFE</c:v>
                </c:pt>
                <c:pt idx="4">
                  <c:v>Tram</c:v>
                </c:pt>
                <c:pt idx="5">
                  <c:v>Car</c:v>
                </c:pt>
                <c:pt idx="6">
                  <c:v>Motorbike</c:v>
                </c:pt>
                <c:pt idx="7">
                  <c:v>Bycicle / Bicing</c:v>
                </c:pt>
                <c:pt idx="8">
                  <c:v>Taxi</c:v>
                </c:pt>
              </c:strCache>
            </c:strRef>
          </c:cat>
          <c:val>
            <c:numRef>
              <c:f>Hoja1!$D$86:$L$86</c:f>
              <c:numCache>
                <c:formatCode>0.00%</c:formatCode>
                <c:ptCount val="9"/>
                <c:pt idx="0">
                  <c:v>0.2733000000000001</c:v>
                </c:pt>
                <c:pt idx="1">
                  <c:v>0.42670000000000002</c:v>
                </c:pt>
                <c:pt idx="2">
                  <c:v>0.20669999999999999</c:v>
                </c:pt>
                <c:pt idx="3">
                  <c:v>0.21330000000000005</c:v>
                </c:pt>
                <c:pt idx="4">
                  <c:v>4.6699999999999998E-2</c:v>
                </c:pt>
                <c:pt idx="5">
                  <c:v>0.50670000000000004</c:v>
                </c:pt>
                <c:pt idx="6">
                  <c:v>0.1133</c:v>
                </c:pt>
                <c:pt idx="7">
                  <c:v>6.0000000000000019E-2</c:v>
                </c:pt>
                <c:pt idx="8">
                  <c:v>6.700000000000002E-3</c:v>
                </c:pt>
              </c:numCache>
            </c:numRef>
          </c:val>
        </c:ser>
        <c:ser>
          <c:idx val="2"/>
          <c:order val="2"/>
          <c:tx>
            <c:strRef>
              <c:f>Hoja1!$C$87</c:f>
              <c:strCache>
                <c:ptCount val="1"/>
                <c:pt idx="0">
                  <c:v>RMB-BCN</c:v>
                </c:pt>
              </c:strCache>
            </c:strRef>
          </c:tx>
          <c:invertIfNegative val="0"/>
          <c:cat>
            <c:strRef>
              <c:f>Hoja1!$D$84:$L$84</c:f>
              <c:strCache>
                <c:ptCount val="9"/>
                <c:pt idx="0">
                  <c:v>Bus</c:v>
                </c:pt>
                <c:pt idx="1">
                  <c:v>Underground</c:v>
                </c:pt>
                <c:pt idx="2">
                  <c:v>FGC</c:v>
                </c:pt>
                <c:pt idx="3">
                  <c:v>RENFE</c:v>
                </c:pt>
                <c:pt idx="4">
                  <c:v>Tram</c:v>
                </c:pt>
                <c:pt idx="5">
                  <c:v>Car</c:v>
                </c:pt>
                <c:pt idx="6">
                  <c:v>Motorbike</c:v>
                </c:pt>
                <c:pt idx="7">
                  <c:v>Bycicle / Bicing</c:v>
                </c:pt>
                <c:pt idx="8">
                  <c:v>Taxi</c:v>
                </c:pt>
              </c:strCache>
            </c:strRef>
          </c:cat>
          <c:val>
            <c:numRef>
              <c:f>Hoja1!$D$87:$L$87</c:f>
              <c:numCache>
                <c:formatCode>0.00%</c:formatCode>
                <c:ptCount val="9"/>
                <c:pt idx="0">
                  <c:v>0.20500000000000004</c:v>
                </c:pt>
                <c:pt idx="1">
                  <c:v>0.34160000000000001</c:v>
                </c:pt>
                <c:pt idx="2">
                  <c:v>0.1118</c:v>
                </c:pt>
                <c:pt idx="3">
                  <c:v>0.24840000000000007</c:v>
                </c:pt>
                <c:pt idx="4">
                  <c:v>3.7300000000000014E-2</c:v>
                </c:pt>
                <c:pt idx="5">
                  <c:v>0.62110000000000021</c:v>
                </c:pt>
                <c:pt idx="6">
                  <c:v>0.14290000000000005</c:v>
                </c:pt>
                <c:pt idx="7">
                  <c:v>3.1100000000000006E-2</c:v>
                </c:pt>
                <c:pt idx="8">
                  <c:v>1.2400000000000001E-2</c:v>
                </c:pt>
              </c:numCache>
            </c:numRef>
          </c:val>
        </c:ser>
        <c:dLbls>
          <c:showLegendKey val="0"/>
          <c:showVal val="0"/>
          <c:showCatName val="0"/>
          <c:showSerName val="0"/>
          <c:showPercent val="0"/>
          <c:showBubbleSize val="0"/>
        </c:dLbls>
        <c:gapWidth val="75"/>
        <c:shape val="box"/>
        <c:axId val="138649600"/>
        <c:axId val="138651136"/>
        <c:axId val="0"/>
      </c:bar3DChart>
      <c:catAx>
        <c:axId val="138649600"/>
        <c:scaling>
          <c:orientation val="minMax"/>
        </c:scaling>
        <c:delete val="0"/>
        <c:axPos val="b"/>
        <c:majorTickMark val="none"/>
        <c:minorTickMark val="none"/>
        <c:tickLblPos val="nextTo"/>
        <c:crossAx val="138651136"/>
        <c:crosses val="autoZero"/>
        <c:auto val="1"/>
        <c:lblAlgn val="ctr"/>
        <c:lblOffset val="100"/>
        <c:noMultiLvlLbl val="0"/>
      </c:catAx>
      <c:valAx>
        <c:axId val="138651136"/>
        <c:scaling>
          <c:orientation val="minMax"/>
        </c:scaling>
        <c:delete val="0"/>
        <c:axPos val="l"/>
        <c:majorGridlines/>
        <c:numFmt formatCode="0%" sourceLinked="0"/>
        <c:majorTickMark val="none"/>
        <c:minorTickMark val="none"/>
        <c:tickLblPos val="nextTo"/>
        <c:spPr>
          <a:ln w="9525">
            <a:noFill/>
          </a:ln>
        </c:spPr>
        <c:crossAx val="13864960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chart>
    <c:title>
      <c:tx>
        <c:rich>
          <a:bodyPr/>
          <a:lstStyle/>
          <a:p>
            <a:pPr>
              <a:defRPr sz="1200"/>
            </a:pPr>
            <a:r>
              <a:rPr lang="en-US" sz="1200"/>
              <a:t>Users of shared mobility services</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cat>
            <c:strRef>
              <c:f>Hoja1!$C$96:$C$100</c:f>
              <c:strCache>
                <c:ptCount val="5"/>
                <c:pt idx="0">
                  <c:v>None of them</c:v>
                </c:pt>
                <c:pt idx="1">
                  <c:v>Tripsharing</c:v>
                </c:pt>
                <c:pt idx="2">
                  <c:v>Carsharing</c:v>
                </c:pt>
                <c:pt idx="3">
                  <c:v>Motosharing</c:v>
                </c:pt>
                <c:pt idx="4">
                  <c:v>Bikesharing</c:v>
                </c:pt>
              </c:strCache>
            </c:strRef>
          </c:cat>
          <c:val>
            <c:numRef>
              <c:f>Hoja1!$D$96:$D$100</c:f>
              <c:numCache>
                <c:formatCode>0.00%</c:formatCode>
                <c:ptCount val="5"/>
                <c:pt idx="0">
                  <c:v>0.66279000000000032</c:v>
                </c:pt>
                <c:pt idx="1">
                  <c:v>0.14618</c:v>
                </c:pt>
                <c:pt idx="2">
                  <c:v>8.3100000000000049E-2</c:v>
                </c:pt>
                <c:pt idx="3">
                  <c:v>3.8199999999999998E-2</c:v>
                </c:pt>
                <c:pt idx="4">
                  <c:v>0.20598000000000005</c:v>
                </c:pt>
              </c:numCache>
            </c:numRef>
          </c:val>
        </c:ser>
        <c:dLbls>
          <c:showLegendKey val="0"/>
          <c:showVal val="0"/>
          <c:showCatName val="0"/>
          <c:showSerName val="0"/>
          <c:showPercent val="0"/>
          <c:showBubbleSize val="0"/>
        </c:dLbls>
        <c:gapWidth val="150"/>
        <c:shape val="box"/>
        <c:axId val="138663808"/>
        <c:axId val="138665344"/>
        <c:axId val="0"/>
      </c:bar3DChart>
      <c:catAx>
        <c:axId val="138663808"/>
        <c:scaling>
          <c:orientation val="minMax"/>
        </c:scaling>
        <c:delete val="0"/>
        <c:axPos val="l"/>
        <c:majorTickMark val="none"/>
        <c:minorTickMark val="none"/>
        <c:tickLblPos val="nextTo"/>
        <c:crossAx val="138665344"/>
        <c:crosses val="autoZero"/>
        <c:auto val="1"/>
        <c:lblAlgn val="ctr"/>
        <c:lblOffset val="100"/>
        <c:noMultiLvlLbl val="0"/>
      </c:catAx>
      <c:valAx>
        <c:axId val="138665344"/>
        <c:scaling>
          <c:orientation val="minMax"/>
        </c:scaling>
        <c:delete val="0"/>
        <c:axPos val="b"/>
        <c:majorGridlines/>
        <c:title>
          <c:tx>
            <c:rich>
              <a:bodyPr/>
              <a:lstStyle/>
              <a:p>
                <a:pPr>
                  <a:defRPr/>
                </a:pPr>
                <a:r>
                  <a:rPr lang="en-US"/>
                  <a:t>Percentage of responses</a:t>
                </a:r>
              </a:p>
            </c:rich>
          </c:tx>
          <c:overlay val="0"/>
        </c:title>
        <c:numFmt formatCode="0%" sourceLinked="0"/>
        <c:majorTickMark val="out"/>
        <c:minorTickMark val="none"/>
        <c:tickLblPos val="nextTo"/>
        <c:crossAx val="138663808"/>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pivotSource>
    <c:name>[Creafutur_enquestes tabla.xlsx]tabulacio!Tabla dinámica5</c:name>
    <c:fmtId val="-1"/>
  </c:pivotSource>
  <c:chart>
    <c:title>
      <c:tx>
        <c:rich>
          <a:bodyPr/>
          <a:lstStyle/>
          <a:p>
            <a:pPr>
              <a:defRPr sz="1200"/>
            </a:pPr>
            <a:r>
              <a:rPr lang="es-ES" sz="1200"/>
              <a:t>Intended use of Ridesharing for long distance trips</a:t>
            </a:r>
          </a:p>
        </c:rich>
      </c:tx>
      <c:overlay val="0"/>
    </c:title>
    <c:autoTitleDeleted val="0"/>
    <c:pivotFmts>
      <c:pivotFmt>
        <c:idx val="0"/>
        <c:marker>
          <c:symbol val="none"/>
        </c:marker>
        <c:dLbl>
          <c:idx val="0"/>
          <c:spPr/>
          <c:txPr>
            <a:bodyPr/>
            <a:lstStyle/>
            <a:p>
              <a:pPr>
                <a:defRPr/>
              </a:pPr>
              <a:endParaRPr lang="es-ES"/>
            </a:p>
          </c:txPr>
          <c:showLegendKey val="0"/>
          <c:showVal val="1"/>
          <c:showCatName val="0"/>
          <c:showSerName val="0"/>
          <c:showPercent val="0"/>
          <c:showBubbleSize val="0"/>
        </c:dLbl>
      </c:pivotFmt>
      <c:pivotFmt>
        <c:idx val="1"/>
        <c:marker>
          <c:symbol val="none"/>
        </c:marker>
        <c:dLbl>
          <c:idx val="0"/>
          <c:spPr/>
          <c:txPr>
            <a:bodyPr/>
            <a:lstStyle/>
            <a:p>
              <a:pPr>
                <a:defRPr/>
              </a:pPr>
              <a:endParaRPr lang="es-ES"/>
            </a:p>
          </c:txPr>
          <c:showLegendKey val="0"/>
          <c:showVal val="1"/>
          <c:showCatName val="0"/>
          <c:showSerName val="0"/>
          <c:showPercent val="0"/>
          <c:showBubbleSize val="0"/>
        </c:dLbl>
      </c:pivotFmt>
      <c:pivotFmt>
        <c:idx val="2"/>
        <c:marker>
          <c:symbol val="none"/>
        </c:marker>
        <c:dLbl>
          <c:idx val="0"/>
          <c:spPr/>
          <c:txPr>
            <a:bodyPr/>
            <a:lstStyle/>
            <a:p>
              <a:pPr>
                <a:defRPr/>
              </a:pPr>
              <a:endParaRPr lang="es-ES"/>
            </a:p>
          </c:txPr>
          <c:showLegendKey val="0"/>
          <c:showVal val="1"/>
          <c:showCatName val="0"/>
          <c:showSerName val="0"/>
          <c:showPercent val="0"/>
          <c:showBubbleSize val="0"/>
        </c:dLbl>
      </c:pivotFmt>
      <c:pivotFmt>
        <c:idx val="3"/>
      </c:pivotFmt>
      <c:pivotFmt>
        <c:idx val="4"/>
      </c:pivotFmt>
      <c:pivotFmt>
        <c:idx val="5"/>
      </c:pivotFmt>
      <c:pivotFmt>
        <c:idx val="6"/>
        <c:marker>
          <c:symbol val="none"/>
        </c:marker>
        <c:dLbl>
          <c:idx val="0"/>
          <c:spPr/>
          <c:txPr>
            <a:bodyPr/>
            <a:lstStyle/>
            <a:p>
              <a:pPr>
                <a:defRPr/>
              </a:pPr>
              <a:endParaRPr lang="es-ES"/>
            </a:p>
          </c:txPr>
          <c:showLegendKey val="0"/>
          <c:showVal val="1"/>
          <c:showCatName val="0"/>
          <c:showSerName val="0"/>
          <c:showPercent val="0"/>
          <c:showBubbleSize val="0"/>
        </c:dLbl>
      </c:pivotFmt>
      <c:pivotFmt>
        <c:idx val="7"/>
        <c:marker>
          <c:symbol val="none"/>
        </c:marker>
        <c:dLbl>
          <c:idx val="0"/>
          <c:spPr/>
          <c:txPr>
            <a:bodyPr/>
            <a:lstStyle/>
            <a:p>
              <a:pPr>
                <a:defRPr/>
              </a:pPr>
              <a:endParaRPr lang="es-ES"/>
            </a:p>
          </c:txPr>
          <c:showLegendKey val="0"/>
          <c:showVal val="1"/>
          <c:showCatName val="0"/>
          <c:showSerName val="0"/>
          <c:showPercent val="0"/>
          <c:showBubbleSize val="0"/>
        </c:dLbl>
      </c:pivotFmt>
      <c:pivotFmt>
        <c:idx val="8"/>
        <c:marker>
          <c:symbol val="none"/>
        </c:marker>
        <c:dLbl>
          <c:idx val="0"/>
          <c:spPr/>
          <c:txPr>
            <a:bodyPr/>
            <a:lstStyle/>
            <a:p>
              <a:pPr>
                <a:defRPr/>
              </a:pPr>
              <a:endParaRPr lang="es-ES"/>
            </a:p>
          </c:txPr>
          <c:showLegendKey val="0"/>
          <c:showVal val="1"/>
          <c:showCatName val="0"/>
          <c:showSerName val="0"/>
          <c:showPercent val="0"/>
          <c:showBubbleSize val="0"/>
        </c:dLbl>
      </c:pivotFmt>
      <c:pivotFmt>
        <c:idx val="9"/>
        <c:marker>
          <c:symbol val="none"/>
        </c:marker>
        <c:dLbl>
          <c:idx val="0"/>
          <c:spPr/>
          <c:txPr>
            <a:bodyPr/>
            <a:lstStyle/>
            <a:p>
              <a:pPr>
                <a:defRPr/>
              </a:pPr>
              <a:endParaRPr lang="es-ES"/>
            </a:p>
          </c:txPr>
          <c:showLegendKey val="0"/>
          <c:showVal val="1"/>
          <c:showCatName val="0"/>
          <c:showSerName val="0"/>
          <c:showPercent val="0"/>
          <c:showBubbleSize val="0"/>
        </c:dLbl>
      </c:pivotFmt>
      <c:pivotFmt>
        <c:idx val="10"/>
        <c:marker>
          <c:symbol val="none"/>
        </c:marker>
        <c:dLbl>
          <c:idx val="0"/>
          <c:spPr/>
          <c:txPr>
            <a:bodyPr/>
            <a:lstStyle/>
            <a:p>
              <a:pPr>
                <a:defRPr/>
              </a:pPr>
              <a:endParaRPr lang="es-ES"/>
            </a:p>
          </c:txPr>
          <c:showLegendKey val="0"/>
          <c:showVal val="1"/>
          <c:showCatName val="0"/>
          <c:showSerName val="0"/>
          <c:showPercent val="0"/>
          <c:showBubbleSize val="0"/>
        </c:dLbl>
      </c:pivotFmt>
      <c:pivotFmt>
        <c:idx val="11"/>
        <c:marker>
          <c:symbol val="none"/>
        </c:marker>
        <c:dLbl>
          <c:idx val="0"/>
          <c:spPr/>
          <c:txPr>
            <a:bodyPr/>
            <a:lstStyle/>
            <a:p>
              <a:pPr>
                <a:defRPr/>
              </a:pPr>
              <a:endParaRPr lang="es-ES"/>
            </a:p>
          </c:txPr>
          <c:showLegendKey val="0"/>
          <c:showVal val="1"/>
          <c:showCatName val="0"/>
          <c:showSerName val="0"/>
          <c:showPercent val="0"/>
          <c:showBubbleSize val="0"/>
        </c:dLbl>
      </c:pivotFmt>
    </c:pivotFmts>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bar"/>
        <c:grouping val="clustered"/>
        <c:varyColors val="0"/>
        <c:ser>
          <c:idx val="0"/>
          <c:order val="0"/>
          <c:tx>
            <c:strRef>
              <c:f>tabulacio!$C$66:$C$67</c:f>
              <c:strCache>
                <c:ptCount val="1"/>
                <c:pt idx="0">
                  <c:v>18-29</c:v>
                </c:pt>
              </c:strCache>
            </c:strRef>
          </c:tx>
          <c:invertIfNegative val="0"/>
          <c:dLbls>
            <c:txPr>
              <a:bodyPr/>
              <a:lstStyle/>
              <a:p>
                <a:pPr>
                  <a:defRPr sz="900"/>
                </a:pPr>
                <a:endParaRPr lang="es-ES"/>
              </a:p>
            </c:txPr>
            <c:showLegendKey val="0"/>
            <c:showVal val="1"/>
            <c:showCatName val="0"/>
            <c:showSerName val="0"/>
            <c:showPercent val="0"/>
            <c:showBubbleSize val="0"/>
            <c:showLeaderLines val="0"/>
          </c:dLbls>
          <c:cat>
            <c:strRef>
              <c:f>tabulacio!$B$68:$B$72</c:f>
              <c:strCache>
                <c:ptCount val="4"/>
                <c:pt idx="0">
                  <c:v>High speed train</c:v>
                </c:pt>
                <c:pt idx="1">
                  <c:v>Regional train</c:v>
                </c:pt>
                <c:pt idx="2">
                  <c:v>Private car</c:v>
                </c:pt>
                <c:pt idx="3">
                  <c:v>Ridesharing</c:v>
                </c:pt>
              </c:strCache>
            </c:strRef>
          </c:cat>
          <c:val>
            <c:numRef>
              <c:f>tabulacio!$C$68:$C$72</c:f>
              <c:numCache>
                <c:formatCode>0.00%</c:formatCode>
                <c:ptCount val="4"/>
                <c:pt idx="0">
                  <c:v>0.39108910891089155</c:v>
                </c:pt>
                <c:pt idx="1">
                  <c:v>0.25247524752475248</c:v>
                </c:pt>
                <c:pt idx="2">
                  <c:v>0.16831683168316841</c:v>
                </c:pt>
                <c:pt idx="3">
                  <c:v>0.18811881188118829</c:v>
                </c:pt>
              </c:numCache>
            </c:numRef>
          </c:val>
        </c:ser>
        <c:ser>
          <c:idx val="1"/>
          <c:order val="1"/>
          <c:tx>
            <c:strRef>
              <c:f>tabulacio!$D$66:$D$67</c:f>
              <c:strCache>
                <c:ptCount val="1"/>
                <c:pt idx="0">
                  <c:v>30-45</c:v>
                </c:pt>
              </c:strCache>
            </c:strRef>
          </c:tx>
          <c:invertIfNegative val="0"/>
          <c:dLbls>
            <c:dLbl>
              <c:idx val="1"/>
              <c:layout>
                <c:manualLayout>
                  <c:x val="0"/>
                  <c:y val="-6.7688370205284971E-3"/>
                </c:manualLayout>
              </c:layout>
              <c:showLegendKey val="0"/>
              <c:showVal val="1"/>
              <c:showCatName val="0"/>
              <c:showSerName val="0"/>
              <c:showPercent val="0"/>
              <c:showBubbleSize val="0"/>
            </c:dLbl>
            <c:dLbl>
              <c:idx val="3"/>
              <c:layout>
                <c:manualLayout>
                  <c:x val="4.8111837671417374E-3"/>
                  <c:y val="-6.7688370205284971E-3"/>
                </c:manualLayout>
              </c:layout>
              <c:showLegendKey val="0"/>
              <c:showVal val="1"/>
              <c:showCatName val="0"/>
              <c:showSerName val="0"/>
              <c:showPercent val="0"/>
              <c:showBubbleSize val="0"/>
            </c:dLbl>
            <c:txPr>
              <a:bodyPr/>
              <a:lstStyle/>
              <a:p>
                <a:pPr>
                  <a:defRPr sz="900"/>
                </a:pPr>
                <a:endParaRPr lang="es-ES"/>
              </a:p>
            </c:txPr>
            <c:showLegendKey val="0"/>
            <c:showVal val="1"/>
            <c:showCatName val="0"/>
            <c:showSerName val="0"/>
            <c:showPercent val="0"/>
            <c:showBubbleSize val="0"/>
            <c:showLeaderLines val="0"/>
          </c:dLbls>
          <c:cat>
            <c:strRef>
              <c:f>tabulacio!$B$68:$B$72</c:f>
              <c:strCache>
                <c:ptCount val="4"/>
                <c:pt idx="0">
                  <c:v>High speed train</c:v>
                </c:pt>
                <c:pt idx="1">
                  <c:v>Regional train</c:v>
                </c:pt>
                <c:pt idx="2">
                  <c:v>Private car</c:v>
                </c:pt>
                <c:pt idx="3">
                  <c:v>Ridesharing</c:v>
                </c:pt>
              </c:strCache>
            </c:strRef>
          </c:cat>
          <c:val>
            <c:numRef>
              <c:f>tabulacio!$D$68:$D$72</c:f>
              <c:numCache>
                <c:formatCode>0.00%</c:formatCode>
                <c:ptCount val="4"/>
                <c:pt idx="0">
                  <c:v>0.4</c:v>
                </c:pt>
                <c:pt idx="1">
                  <c:v>0.10500000000000002</c:v>
                </c:pt>
                <c:pt idx="2">
                  <c:v>0.3500000000000002</c:v>
                </c:pt>
                <c:pt idx="3">
                  <c:v>0.1450000000000001</c:v>
                </c:pt>
              </c:numCache>
            </c:numRef>
          </c:val>
        </c:ser>
        <c:ser>
          <c:idx val="2"/>
          <c:order val="2"/>
          <c:tx>
            <c:strRef>
              <c:f>tabulacio!$E$66:$E$67</c:f>
              <c:strCache>
                <c:ptCount val="1"/>
                <c:pt idx="0">
                  <c:v>46-55</c:v>
                </c:pt>
              </c:strCache>
            </c:strRef>
          </c:tx>
          <c:invertIfNegative val="0"/>
          <c:dLbls>
            <c:dLbl>
              <c:idx val="0"/>
              <c:layout>
                <c:manualLayout>
                  <c:x val="0"/>
                  <c:y val="-6.7688370205284971E-3"/>
                </c:manualLayout>
              </c:layout>
              <c:showLegendKey val="0"/>
              <c:showVal val="1"/>
              <c:showCatName val="0"/>
              <c:showSerName val="0"/>
              <c:showPercent val="0"/>
              <c:showBubbleSize val="0"/>
            </c:dLbl>
            <c:dLbl>
              <c:idx val="1"/>
              <c:layout>
                <c:manualLayout>
                  <c:x val="0"/>
                  <c:y val="-6.7688370205284971E-3"/>
                </c:manualLayout>
              </c:layout>
              <c:showLegendKey val="0"/>
              <c:showVal val="1"/>
              <c:showCatName val="0"/>
              <c:showSerName val="0"/>
              <c:showPercent val="0"/>
              <c:showBubbleSize val="0"/>
            </c:dLbl>
            <c:dLbl>
              <c:idx val="2"/>
              <c:layout>
                <c:manualLayout>
                  <c:x val="0"/>
                  <c:y val="-6.7688370205284971E-3"/>
                </c:manualLayout>
              </c:layout>
              <c:showLegendKey val="0"/>
              <c:showVal val="1"/>
              <c:showCatName val="0"/>
              <c:showSerName val="0"/>
              <c:showPercent val="0"/>
              <c:showBubbleSize val="0"/>
            </c:dLbl>
            <c:txPr>
              <a:bodyPr/>
              <a:lstStyle/>
              <a:p>
                <a:pPr>
                  <a:defRPr sz="900"/>
                </a:pPr>
                <a:endParaRPr lang="es-ES"/>
              </a:p>
            </c:txPr>
            <c:showLegendKey val="0"/>
            <c:showVal val="1"/>
            <c:showCatName val="0"/>
            <c:showSerName val="0"/>
            <c:showPercent val="0"/>
            <c:showBubbleSize val="0"/>
            <c:showLeaderLines val="0"/>
          </c:dLbls>
          <c:cat>
            <c:strRef>
              <c:f>tabulacio!$B$68:$B$72</c:f>
              <c:strCache>
                <c:ptCount val="4"/>
                <c:pt idx="0">
                  <c:v>High speed train</c:v>
                </c:pt>
                <c:pt idx="1">
                  <c:v>Regional train</c:v>
                </c:pt>
                <c:pt idx="2">
                  <c:v>Private car</c:v>
                </c:pt>
                <c:pt idx="3">
                  <c:v>Ridesharing</c:v>
                </c:pt>
              </c:strCache>
            </c:strRef>
          </c:cat>
          <c:val>
            <c:numRef>
              <c:f>tabulacio!$E$68:$E$72</c:f>
              <c:numCache>
                <c:formatCode>0.00%</c:formatCode>
                <c:ptCount val="4"/>
                <c:pt idx="0">
                  <c:v>0.33000000000000035</c:v>
                </c:pt>
                <c:pt idx="1">
                  <c:v>0.12000000000000002</c:v>
                </c:pt>
                <c:pt idx="2">
                  <c:v>0.31000000000000022</c:v>
                </c:pt>
                <c:pt idx="3">
                  <c:v>0.2400000000000001</c:v>
                </c:pt>
              </c:numCache>
            </c:numRef>
          </c:val>
        </c:ser>
        <c:dLbls>
          <c:showLegendKey val="0"/>
          <c:showVal val="0"/>
          <c:showCatName val="0"/>
          <c:showSerName val="0"/>
          <c:showPercent val="0"/>
          <c:showBubbleSize val="0"/>
        </c:dLbls>
        <c:gapWidth val="150"/>
        <c:shape val="box"/>
        <c:axId val="147695488"/>
        <c:axId val="147705856"/>
        <c:axId val="0"/>
      </c:bar3DChart>
      <c:catAx>
        <c:axId val="147695488"/>
        <c:scaling>
          <c:orientation val="minMax"/>
        </c:scaling>
        <c:delete val="0"/>
        <c:axPos val="l"/>
        <c:title>
          <c:tx>
            <c:rich>
              <a:bodyPr/>
              <a:lstStyle/>
              <a:p>
                <a:pPr>
                  <a:defRPr/>
                </a:pPr>
                <a:r>
                  <a:rPr lang="es-ES"/>
                  <a:t>Mean of transport</a:t>
                </a:r>
              </a:p>
            </c:rich>
          </c:tx>
          <c:overlay val="0"/>
        </c:title>
        <c:majorTickMark val="none"/>
        <c:minorTickMark val="none"/>
        <c:tickLblPos val="nextTo"/>
        <c:crossAx val="147705856"/>
        <c:crosses val="autoZero"/>
        <c:auto val="1"/>
        <c:lblAlgn val="ctr"/>
        <c:lblOffset val="100"/>
        <c:noMultiLvlLbl val="0"/>
      </c:catAx>
      <c:valAx>
        <c:axId val="147705856"/>
        <c:scaling>
          <c:orientation val="minMax"/>
        </c:scaling>
        <c:delete val="0"/>
        <c:axPos val="b"/>
        <c:majorGridlines>
          <c:spPr>
            <a:ln>
              <a:noFill/>
            </a:ln>
          </c:spPr>
        </c:majorGridlines>
        <c:title>
          <c:tx>
            <c:rich>
              <a:bodyPr/>
              <a:lstStyle/>
              <a:p>
                <a:pPr>
                  <a:defRPr/>
                </a:pPr>
                <a:r>
                  <a:rPr lang="es-ES"/>
                  <a:t>Intention of use</a:t>
                </a:r>
              </a:p>
            </c:rich>
          </c:tx>
          <c:overlay val="0"/>
        </c:title>
        <c:numFmt formatCode="0%" sourceLinked="0"/>
        <c:majorTickMark val="out"/>
        <c:minorTickMark val="none"/>
        <c:tickLblPos val="nextTo"/>
        <c:crossAx val="147695488"/>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pivotSource>
    <c:name>[Creafutur_enquestes tabla.xlsx]tabulacio!Tabla dinámica15</c:name>
    <c:fmtId val="-1"/>
  </c:pivotSource>
  <c:chart>
    <c:title>
      <c:tx>
        <c:rich>
          <a:bodyPr/>
          <a:lstStyle/>
          <a:p>
            <a:pPr>
              <a:defRPr sz="1200"/>
            </a:pPr>
            <a:r>
              <a:rPr lang="es-ES" sz="1200"/>
              <a:t>Intended</a:t>
            </a:r>
            <a:r>
              <a:rPr lang="es-ES" sz="1200" baseline="0"/>
              <a:t> use of Carsharing for a round trip journey</a:t>
            </a:r>
            <a:endParaRPr lang="es-ES" sz="1200"/>
          </a:p>
        </c:rich>
      </c:tx>
      <c:overlay val="0"/>
    </c:title>
    <c:autoTitleDeleted val="0"/>
    <c:pivotFmts>
      <c:pivotFmt>
        <c:idx val="0"/>
        <c:dLbl>
          <c:idx val="0"/>
          <c:spPr/>
          <c:txPr>
            <a:bodyPr/>
            <a:lstStyle/>
            <a:p>
              <a:pPr>
                <a:defRPr/>
              </a:pPr>
              <a:endParaRPr lang="es-ES"/>
            </a:p>
          </c:txPr>
          <c:showLegendKey val="0"/>
          <c:showVal val="1"/>
          <c:showCatName val="0"/>
          <c:showSerName val="0"/>
          <c:showPercent val="0"/>
          <c:showBubbleSize val="0"/>
        </c:dLbl>
      </c:pivotFmt>
      <c:pivotFmt>
        <c:idx val="1"/>
        <c:dLbl>
          <c:idx val="0"/>
          <c:spPr/>
          <c:txPr>
            <a:bodyPr/>
            <a:lstStyle/>
            <a:p>
              <a:pPr>
                <a:defRPr/>
              </a:pPr>
              <a:endParaRPr lang="es-ES"/>
            </a:p>
          </c:txPr>
          <c:showLegendKey val="0"/>
          <c:showVal val="1"/>
          <c:showCatName val="0"/>
          <c:showSerName val="0"/>
          <c:showPercent val="0"/>
          <c:showBubbleSize val="0"/>
        </c:dLbl>
      </c:pivotFmt>
      <c:pivotFmt>
        <c:idx val="2"/>
        <c:dLbl>
          <c:idx val="0"/>
          <c:spPr/>
          <c:txPr>
            <a:bodyPr/>
            <a:lstStyle/>
            <a:p>
              <a:pPr>
                <a:defRPr/>
              </a:pPr>
              <a:endParaRPr lang="es-ES"/>
            </a:p>
          </c:txPr>
          <c:showLegendKey val="0"/>
          <c:showVal val="1"/>
          <c:showCatName val="0"/>
          <c:showSerName val="0"/>
          <c:showPercent val="0"/>
          <c:showBubbleSize val="0"/>
        </c:dLbl>
      </c:pivotFmt>
      <c:pivotFmt>
        <c:idx val="3"/>
        <c:dLbl>
          <c:idx val="0"/>
          <c:layout>
            <c:manualLayout>
              <c:x val="0"/>
              <c:y val="-1.1975226368316952E-2"/>
            </c:manualLayout>
          </c:layout>
          <c:showLegendKey val="0"/>
          <c:showVal val="1"/>
          <c:showCatName val="0"/>
          <c:showSerName val="0"/>
          <c:showPercent val="0"/>
          <c:showBubbleSize val="0"/>
        </c:dLbl>
      </c:pivotFmt>
      <c:pivotFmt>
        <c:idx val="4"/>
        <c:dLbl>
          <c:idx val="0"/>
          <c:layout>
            <c:manualLayout>
              <c:x val="6.8296451233040073E-3"/>
              <c:y val="-2.993806592079349E-3"/>
            </c:manualLayout>
          </c:layout>
          <c:showLegendKey val="0"/>
          <c:showVal val="1"/>
          <c:showCatName val="0"/>
          <c:showSerName val="0"/>
          <c:showPercent val="0"/>
          <c:showBubbleSize val="0"/>
        </c:dLbl>
      </c:pivotFmt>
      <c:pivotFmt>
        <c:idx val="5"/>
        <c:marker>
          <c:symbol val="none"/>
        </c:marker>
        <c:dLbl>
          <c:idx val="0"/>
          <c:spPr/>
          <c:txPr>
            <a:bodyPr/>
            <a:lstStyle/>
            <a:p>
              <a:pPr>
                <a:defRPr/>
              </a:pPr>
              <a:endParaRPr lang="es-ES"/>
            </a:p>
          </c:txPr>
          <c:showLegendKey val="0"/>
          <c:showVal val="1"/>
          <c:showCatName val="0"/>
          <c:showSerName val="0"/>
          <c:showPercent val="0"/>
          <c:showBubbleSize val="0"/>
        </c:dLbl>
      </c:pivotFmt>
      <c:pivotFmt>
        <c:idx val="6"/>
        <c:marker>
          <c:symbol val="none"/>
        </c:marker>
        <c:dLbl>
          <c:idx val="0"/>
          <c:spPr/>
          <c:txPr>
            <a:bodyPr/>
            <a:lstStyle/>
            <a:p>
              <a:pPr>
                <a:defRPr/>
              </a:pPr>
              <a:endParaRPr lang="es-ES"/>
            </a:p>
          </c:txPr>
          <c:showLegendKey val="0"/>
          <c:showVal val="1"/>
          <c:showCatName val="0"/>
          <c:showSerName val="0"/>
          <c:showPercent val="0"/>
          <c:showBubbleSize val="0"/>
        </c:dLbl>
      </c:pivotFmt>
      <c:pivotFmt>
        <c:idx val="7"/>
        <c:dLbl>
          <c:idx val="0"/>
          <c:layout>
            <c:manualLayout>
              <c:x val="6.8296451233040073E-3"/>
              <c:y val="-2.993806592079349E-3"/>
            </c:manualLayout>
          </c:layout>
          <c:showLegendKey val="0"/>
          <c:showVal val="1"/>
          <c:showCatName val="0"/>
          <c:showSerName val="0"/>
          <c:showPercent val="0"/>
          <c:showBubbleSize val="0"/>
        </c:dLbl>
      </c:pivotFmt>
      <c:pivotFmt>
        <c:idx val="8"/>
        <c:marker>
          <c:symbol val="none"/>
        </c:marker>
        <c:dLbl>
          <c:idx val="0"/>
          <c:spPr/>
          <c:txPr>
            <a:bodyPr/>
            <a:lstStyle/>
            <a:p>
              <a:pPr>
                <a:defRPr/>
              </a:pPr>
              <a:endParaRPr lang="es-ES"/>
            </a:p>
          </c:txPr>
          <c:showLegendKey val="0"/>
          <c:showVal val="1"/>
          <c:showCatName val="0"/>
          <c:showSerName val="0"/>
          <c:showPercent val="0"/>
          <c:showBubbleSize val="0"/>
        </c:dLbl>
      </c:pivotFmt>
      <c:pivotFmt>
        <c:idx val="9"/>
        <c:dLbl>
          <c:idx val="0"/>
          <c:layout>
            <c:manualLayout>
              <c:x val="0"/>
              <c:y val="-1.1975226368316952E-2"/>
            </c:manualLayout>
          </c:layout>
          <c:showLegendKey val="0"/>
          <c:showVal val="1"/>
          <c:showCatName val="0"/>
          <c:showSerName val="0"/>
          <c:showPercent val="0"/>
          <c:showBubbleSize val="0"/>
        </c:dLbl>
      </c:pivotFmt>
      <c:pivotFmt>
        <c:idx val="10"/>
        <c:marker>
          <c:symbol val="none"/>
        </c:marker>
        <c:dLbl>
          <c:idx val="0"/>
          <c:spPr/>
          <c:txPr>
            <a:bodyPr/>
            <a:lstStyle/>
            <a:p>
              <a:pPr>
                <a:defRPr/>
              </a:pPr>
              <a:endParaRPr lang="es-ES"/>
            </a:p>
          </c:txPr>
          <c:showLegendKey val="0"/>
          <c:showVal val="1"/>
          <c:showCatName val="0"/>
          <c:showSerName val="0"/>
          <c:showPercent val="0"/>
          <c:showBubbleSize val="0"/>
        </c:dLbl>
      </c:pivotFmt>
      <c:pivotFmt>
        <c:idx val="11"/>
        <c:marker>
          <c:symbol val="none"/>
        </c:marker>
        <c:dLbl>
          <c:idx val="0"/>
          <c:spPr/>
          <c:txPr>
            <a:bodyPr/>
            <a:lstStyle/>
            <a:p>
              <a:pPr>
                <a:defRPr/>
              </a:pPr>
              <a:endParaRPr lang="es-ES"/>
            </a:p>
          </c:txPr>
          <c:showLegendKey val="0"/>
          <c:showVal val="1"/>
          <c:showCatName val="0"/>
          <c:showSerName val="0"/>
          <c:showPercent val="0"/>
          <c:showBubbleSize val="0"/>
        </c:dLbl>
      </c:pivotFmt>
      <c:pivotFmt>
        <c:idx val="12"/>
        <c:dLbl>
          <c:idx val="0"/>
          <c:layout>
            <c:manualLayout>
              <c:x val="6.8296451233040073E-3"/>
              <c:y val="-2.993806592079349E-3"/>
            </c:manualLayout>
          </c:layout>
          <c:showLegendKey val="0"/>
          <c:showVal val="1"/>
          <c:showCatName val="0"/>
          <c:showSerName val="0"/>
          <c:showPercent val="0"/>
          <c:showBubbleSize val="0"/>
        </c:dLbl>
      </c:pivotFmt>
      <c:pivotFmt>
        <c:idx val="13"/>
        <c:marker>
          <c:symbol val="none"/>
        </c:marker>
        <c:dLbl>
          <c:idx val="0"/>
          <c:spPr/>
          <c:txPr>
            <a:bodyPr/>
            <a:lstStyle/>
            <a:p>
              <a:pPr>
                <a:defRPr/>
              </a:pPr>
              <a:endParaRPr lang="es-ES"/>
            </a:p>
          </c:txPr>
          <c:showLegendKey val="0"/>
          <c:showVal val="1"/>
          <c:showCatName val="0"/>
          <c:showSerName val="0"/>
          <c:showPercent val="0"/>
          <c:showBubbleSize val="0"/>
        </c:dLbl>
      </c:pivotFmt>
      <c:pivotFmt>
        <c:idx val="14"/>
        <c:dLbl>
          <c:idx val="0"/>
          <c:layout>
            <c:manualLayout>
              <c:x val="0"/>
              <c:y val="-1.1975226368316952E-2"/>
            </c:manualLayout>
          </c:layout>
          <c:showLegendKey val="0"/>
          <c:showVal val="1"/>
          <c:showCatName val="0"/>
          <c:showSerName val="0"/>
          <c:showPercent val="0"/>
          <c:showBubbleSize val="0"/>
        </c:dLbl>
      </c:pivotFmt>
    </c:pivotFmts>
    <c:view3D>
      <c:rotX val="15"/>
      <c:rotY val="20"/>
      <c:rAngAx val="1"/>
    </c:view3D>
    <c:floor>
      <c:thickness val="0"/>
    </c:floor>
    <c:sideWall>
      <c:thickness val="0"/>
      <c:spPr>
        <a:noFill/>
        <a:ln w="25400">
          <a:noFill/>
        </a:ln>
      </c:spPr>
    </c:sideWall>
    <c:backWall>
      <c:thickness val="0"/>
      <c:spPr>
        <a:noFill/>
        <a:ln w="25400">
          <a:noFill/>
        </a:ln>
      </c:spPr>
    </c:backWall>
    <c:plotArea>
      <c:layout/>
      <c:bar3DChart>
        <c:barDir val="bar"/>
        <c:grouping val="clustered"/>
        <c:varyColors val="0"/>
        <c:ser>
          <c:idx val="0"/>
          <c:order val="0"/>
          <c:tx>
            <c:strRef>
              <c:f>tabulacio!$C$116:$C$117</c:f>
              <c:strCache>
                <c:ptCount val="1"/>
                <c:pt idx="0">
                  <c:v>18-29</c:v>
                </c:pt>
              </c:strCache>
            </c:strRef>
          </c:tx>
          <c:invertIfNegative val="0"/>
          <c:dLbls>
            <c:showLegendKey val="0"/>
            <c:showVal val="1"/>
            <c:showCatName val="0"/>
            <c:showSerName val="0"/>
            <c:showPercent val="0"/>
            <c:showBubbleSize val="0"/>
            <c:showLeaderLines val="0"/>
          </c:dLbls>
          <c:cat>
            <c:strRef>
              <c:f>tabulacio!$B$118:$B$123</c:f>
              <c:strCache>
                <c:ptCount val="5"/>
                <c:pt idx="0">
                  <c:v>Public transport</c:v>
                </c:pt>
                <c:pt idx="1">
                  <c:v>Taxi</c:v>
                </c:pt>
                <c:pt idx="2">
                  <c:v>Carsharing B2C</c:v>
                </c:pt>
                <c:pt idx="3">
                  <c:v>Carsharing P2P</c:v>
                </c:pt>
                <c:pt idx="4">
                  <c:v>Ridesharing</c:v>
                </c:pt>
              </c:strCache>
            </c:strRef>
          </c:cat>
          <c:val>
            <c:numRef>
              <c:f>tabulacio!$C$118:$C$123</c:f>
              <c:numCache>
                <c:formatCode>0.00%</c:formatCode>
                <c:ptCount val="5"/>
                <c:pt idx="0">
                  <c:v>0.62376237623762376</c:v>
                </c:pt>
                <c:pt idx="1">
                  <c:v>2.9702970297029719E-2</c:v>
                </c:pt>
                <c:pt idx="2">
                  <c:v>0.25742574257425765</c:v>
                </c:pt>
                <c:pt idx="3">
                  <c:v>2.4752475247524754E-2</c:v>
                </c:pt>
                <c:pt idx="4">
                  <c:v>6.4356435643564414E-2</c:v>
                </c:pt>
              </c:numCache>
            </c:numRef>
          </c:val>
        </c:ser>
        <c:ser>
          <c:idx val="1"/>
          <c:order val="1"/>
          <c:tx>
            <c:strRef>
              <c:f>tabulacio!$D$116:$D$117</c:f>
              <c:strCache>
                <c:ptCount val="1"/>
                <c:pt idx="0">
                  <c:v>30-45</c:v>
                </c:pt>
              </c:strCache>
            </c:strRef>
          </c:tx>
          <c:invertIfNegative val="0"/>
          <c:dLbls>
            <c:dLbl>
              <c:idx val="0"/>
              <c:layout>
                <c:manualLayout>
                  <c:x val="8.7206554632929618E-17"/>
                  <c:y val="-1.0515874001612994E-2"/>
                </c:manualLayout>
              </c:layout>
              <c:showLegendKey val="0"/>
              <c:showVal val="1"/>
              <c:showCatName val="0"/>
              <c:showSerName val="0"/>
              <c:showPercent val="0"/>
              <c:showBubbleSize val="0"/>
            </c:dLbl>
            <c:dLbl>
              <c:idx val="1"/>
              <c:layout>
                <c:manualLayout>
                  <c:x val="0"/>
                  <c:y val="-7.010582667741990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tabulacio!$B$118:$B$123</c:f>
              <c:strCache>
                <c:ptCount val="5"/>
                <c:pt idx="0">
                  <c:v>Public transport</c:v>
                </c:pt>
                <c:pt idx="1">
                  <c:v>Taxi</c:v>
                </c:pt>
                <c:pt idx="2">
                  <c:v>Carsharing B2C</c:v>
                </c:pt>
                <c:pt idx="3">
                  <c:v>Carsharing P2P</c:v>
                </c:pt>
                <c:pt idx="4">
                  <c:v>Ridesharing</c:v>
                </c:pt>
              </c:strCache>
            </c:strRef>
          </c:cat>
          <c:val>
            <c:numRef>
              <c:f>tabulacio!$D$118:$D$123</c:f>
              <c:numCache>
                <c:formatCode>0.00%</c:formatCode>
                <c:ptCount val="5"/>
                <c:pt idx="0">
                  <c:v>0.44500000000000001</c:v>
                </c:pt>
                <c:pt idx="1">
                  <c:v>1.0000000000000005E-2</c:v>
                </c:pt>
                <c:pt idx="2">
                  <c:v>0.42000000000000021</c:v>
                </c:pt>
                <c:pt idx="3">
                  <c:v>5.5000000000000014E-2</c:v>
                </c:pt>
                <c:pt idx="4">
                  <c:v>7.0000000000000021E-2</c:v>
                </c:pt>
              </c:numCache>
            </c:numRef>
          </c:val>
        </c:ser>
        <c:ser>
          <c:idx val="2"/>
          <c:order val="2"/>
          <c:tx>
            <c:strRef>
              <c:f>tabulacio!$E$116:$E$117</c:f>
              <c:strCache>
                <c:ptCount val="1"/>
                <c:pt idx="0">
                  <c:v>46-55</c:v>
                </c:pt>
              </c:strCache>
            </c:strRef>
          </c:tx>
          <c:invertIfNegative val="0"/>
          <c:dLbls>
            <c:dLbl>
              <c:idx val="0"/>
              <c:layout>
                <c:manualLayout>
                  <c:x val="-8.7206554632929618E-17"/>
                  <c:y val="-1.4021165335483981E-2"/>
                </c:manualLayout>
              </c:layout>
              <c:showLegendKey val="0"/>
              <c:showVal val="1"/>
              <c:showCatName val="0"/>
              <c:showSerName val="0"/>
              <c:showPercent val="0"/>
              <c:showBubbleSize val="0"/>
            </c:dLbl>
            <c:dLbl>
              <c:idx val="1"/>
              <c:layout>
                <c:manualLayout>
                  <c:x val="-2.378388055922461E-3"/>
                  <c:y val="-7.0105826677419264E-3"/>
                </c:manualLayout>
              </c:layout>
              <c:showLegendKey val="0"/>
              <c:showVal val="1"/>
              <c:showCatName val="0"/>
              <c:showSerName val="0"/>
              <c:showPercent val="0"/>
              <c:showBubbleSize val="0"/>
            </c:dLbl>
            <c:dLbl>
              <c:idx val="3"/>
              <c:layout>
                <c:manualLayout>
                  <c:x val="0"/>
                  <c:y val="-7.0105826677419906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tabulacio!$B$118:$B$123</c:f>
              <c:strCache>
                <c:ptCount val="5"/>
                <c:pt idx="0">
                  <c:v>Public transport</c:v>
                </c:pt>
                <c:pt idx="1">
                  <c:v>Taxi</c:v>
                </c:pt>
                <c:pt idx="2">
                  <c:v>Carsharing B2C</c:v>
                </c:pt>
                <c:pt idx="3">
                  <c:v>Carsharing P2P</c:v>
                </c:pt>
                <c:pt idx="4">
                  <c:v>Ridesharing</c:v>
                </c:pt>
              </c:strCache>
            </c:strRef>
          </c:cat>
          <c:val>
            <c:numRef>
              <c:f>tabulacio!$E$118:$E$123</c:f>
              <c:numCache>
                <c:formatCode>0.00%</c:formatCode>
                <c:ptCount val="5"/>
                <c:pt idx="0">
                  <c:v>0.45500000000000002</c:v>
                </c:pt>
                <c:pt idx="1">
                  <c:v>2.5000000000000001E-2</c:v>
                </c:pt>
                <c:pt idx="2">
                  <c:v>0.4150000000000002</c:v>
                </c:pt>
                <c:pt idx="3">
                  <c:v>2.0000000000000011E-2</c:v>
                </c:pt>
                <c:pt idx="4">
                  <c:v>8.5000000000000006E-2</c:v>
                </c:pt>
              </c:numCache>
            </c:numRef>
          </c:val>
        </c:ser>
        <c:dLbls>
          <c:showLegendKey val="0"/>
          <c:showVal val="0"/>
          <c:showCatName val="0"/>
          <c:showSerName val="0"/>
          <c:showPercent val="0"/>
          <c:showBubbleSize val="0"/>
        </c:dLbls>
        <c:gapWidth val="150"/>
        <c:shape val="box"/>
        <c:axId val="202812416"/>
        <c:axId val="202818688"/>
        <c:axId val="0"/>
      </c:bar3DChart>
      <c:catAx>
        <c:axId val="202812416"/>
        <c:scaling>
          <c:orientation val="minMax"/>
        </c:scaling>
        <c:delete val="0"/>
        <c:axPos val="l"/>
        <c:title>
          <c:tx>
            <c:rich>
              <a:bodyPr/>
              <a:lstStyle/>
              <a:p>
                <a:pPr>
                  <a:defRPr/>
                </a:pPr>
                <a:r>
                  <a:rPr lang="es-ES"/>
                  <a:t>Mean of transport</a:t>
                </a:r>
              </a:p>
            </c:rich>
          </c:tx>
          <c:overlay val="0"/>
        </c:title>
        <c:majorTickMark val="none"/>
        <c:minorTickMark val="none"/>
        <c:tickLblPos val="nextTo"/>
        <c:txPr>
          <a:bodyPr/>
          <a:lstStyle/>
          <a:p>
            <a:pPr>
              <a:defRPr sz="1000"/>
            </a:pPr>
            <a:endParaRPr lang="es-ES"/>
          </a:p>
        </c:txPr>
        <c:crossAx val="202818688"/>
        <c:crosses val="autoZero"/>
        <c:auto val="1"/>
        <c:lblAlgn val="ctr"/>
        <c:lblOffset val="100"/>
        <c:noMultiLvlLbl val="0"/>
      </c:catAx>
      <c:valAx>
        <c:axId val="202818688"/>
        <c:scaling>
          <c:orientation val="minMax"/>
        </c:scaling>
        <c:delete val="0"/>
        <c:axPos val="b"/>
        <c:majorGridlines>
          <c:spPr>
            <a:ln>
              <a:noFill/>
            </a:ln>
          </c:spPr>
        </c:majorGridlines>
        <c:title>
          <c:tx>
            <c:rich>
              <a:bodyPr/>
              <a:lstStyle/>
              <a:p>
                <a:pPr>
                  <a:defRPr/>
                </a:pPr>
                <a:r>
                  <a:rPr lang="es-ES"/>
                  <a:t>Intention</a:t>
                </a:r>
                <a:r>
                  <a:rPr lang="es-ES" baseline="0"/>
                  <a:t> of use</a:t>
                </a:r>
                <a:endParaRPr lang="es-ES"/>
              </a:p>
            </c:rich>
          </c:tx>
          <c:overlay val="0"/>
        </c:title>
        <c:numFmt formatCode="0%" sourceLinked="0"/>
        <c:majorTickMark val="out"/>
        <c:minorTickMark val="none"/>
        <c:tickLblPos val="nextTo"/>
        <c:crossAx val="202812416"/>
        <c:crosses val="autoZero"/>
        <c:crossBetween val="between"/>
      </c:valAx>
    </c:plotArea>
    <c:legend>
      <c:legendPos val="r"/>
      <c:overlay val="0"/>
      <c:txPr>
        <a:bodyPr/>
        <a:lstStyle/>
        <a:p>
          <a:pPr>
            <a:defRPr sz="900"/>
          </a:pPr>
          <a:endParaRPr lang="es-E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0"/>
    </mc:Choice>
    <mc:Fallback>
      <c:style val="20"/>
    </mc:Fallback>
  </mc:AlternateContent>
  <c:pivotSource>
    <c:name>[Creafutur_enquestes tabla.xlsx]tabulacio!Tabla dinámica8</c:name>
    <c:fmtId val="-1"/>
  </c:pivotSource>
  <c:chart>
    <c:title>
      <c:tx>
        <c:rich>
          <a:bodyPr/>
          <a:lstStyle/>
          <a:p>
            <a:pPr>
              <a:defRPr sz="1200"/>
            </a:pPr>
            <a:r>
              <a:rPr lang="es-ES" sz="1200"/>
              <a:t>Intended use of Ridehailing for small distance trips </a:t>
            </a:r>
          </a:p>
        </c:rich>
      </c:tx>
      <c:overlay val="0"/>
    </c:title>
    <c:autoTitleDeleted val="0"/>
    <c:pivotFmts>
      <c:pivotFmt>
        <c:idx val="0"/>
        <c:marker>
          <c:symbol val="none"/>
        </c:marker>
        <c:dLbl>
          <c:idx val="0"/>
          <c:spPr/>
          <c:txPr>
            <a:bodyPr/>
            <a:lstStyle/>
            <a:p>
              <a:pPr>
                <a:defRPr/>
              </a:pPr>
              <a:endParaRPr lang="es-ES"/>
            </a:p>
          </c:txPr>
          <c:showLegendKey val="0"/>
          <c:showVal val="1"/>
          <c:showCatName val="0"/>
          <c:showSerName val="0"/>
          <c:showPercent val="0"/>
          <c:showBubbleSize val="0"/>
        </c:dLbl>
      </c:pivotFmt>
      <c:pivotFmt>
        <c:idx val="1"/>
        <c:marker>
          <c:symbol val="none"/>
        </c:marker>
        <c:dLbl>
          <c:idx val="0"/>
          <c:spPr/>
          <c:txPr>
            <a:bodyPr/>
            <a:lstStyle/>
            <a:p>
              <a:pPr>
                <a:defRPr/>
              </a:pPr>
              <a:endParaRPr lang="es-ES"/>
            </a:p>
          </c:txPr>
          <c:showLegendKey val="0"/>
          <c:showVal val="1"/>
          <c:showCatName val="0"/>
          <c:showSerName val="0"/>
          <c:showPercent val="0"/>
          <c:showBubbleSize val="0"/>
        </c:dLbl>
      </c:pivotFmt>
      <c:pivotFmt>
        <c:idx val="2"/>
        <c:marker>
          <c:symbol val="none"/>
        </c:marker>
        <c:dLbl>
          <c:idx val="0"/>
          <c:spPr/>
          <c:txPr>
            <a:bodyPr/>
            <a:lstStyle/>
            <a:p>
              <a:pPr>
                <a:defRPr/>
              </a:pPr>
              <a:endParaRPr lang="es-ES"/>
            </a:p>
          </c:txPr>
          <c:showLegendKey val="0"/>
          <c:showVal val="1"/>
          <c:showCatName val="0"/>
          <c:showSerName val="0"/>
          <c:showPercent val="0"/>
          <c:showBubbleSize val="0"/>
        </c:dLbl>
      </c:pivotFmt>
      <c:pivotFmt>
        <c:idx val="3"/>
        <c:marker>
          <c:symbol val="none"/>
        </c:marker>
        <c:dLbl>
          <c:idx val="0"/>
          <c:spPr/>
          <c:txPr>
            <a:bodyPr/>
            <a:lstStyle/>
            <a:p>
              <a:pPr>
                <a:defRPr/>
              </a:pPr>
              <a:endParaRPr lang="es-ES"/>
            </a:p>
          </c:txPr>
          <c:showLegendKey val="0"/>
          <c:showVal val="1"/>
          <c:showCatName val="0"/>
          <c:showSerName val="0"/>
          <c:showPercent val="0"/>
          <c:showBubbleSize val="0"/>
        </c:dLbl>
      </c:pivotFmt>
      <c:pivotFmt>
        <c:idx val="4"/>
        <c:marker>
          <c:symbol val="none"/>
        </c:marker>
        <c:dLbl>
          <c:idx val="0"/>
          <c:spPr/>
          <c:txPr>
            <a:bodyPr/>
            <a:lstStyle/>
            <a:p>
              <a:pPr>
                <a:defRPr/>
              </a:pPr>
              <a:endParaRPr lang="es-ES"/>
            </a:p>
          </c:txPr>
          <c:showLegendKey val="0"/>
          <c:showVal val="1"/>
          <c:showCatName val="0"/>
          <c:showSerName val="0"/>
          <c:showPercent val="0"/>
          <c:showBubbleSize val="0"/>
        </c:dLbl>
      </c:pivotFmt>
      <c:pivotFmt>
        <c:idx val="5"/>
        <c:marker>
          <c:symbol val="none"/>
        </c:marker>
        <c:dLbl>
          <c:idx val="0"/>
          <c:spPr/>
          <c:txPr>
            <a:bodyPr/>
            <a:lstStyle/>
            <a:p>
              <a:pPr>
                <a:defRPr/>
              </a:pPr>
              <a:endParaRPr lang="es-ES"/>
            </a:p>
          </c:txPr>
          <c:showLegendKey val="0"/>
          <c:showVal val="1"/>
          <c:showCatName val="0"/>
          <c:showSerName val="0"/>
          <c:showPercent val="0"/>
          <c:showBubbleSize val="0"/>
        </c:dLbl>
      </c:pivotFmt>
      <c:pivotFmt>
        <c:idx val="6"/>
        <c:marker>
          <c:symbol val="none"/>
        </c:marker>
        <c:dLbl>
          <c:idx val="0"/>
          <c:spPr/>
          <c:txPr>
            <a:bodyPr/>
            <a:lstStyle/>
            <a:p>
              <a:pPr>
                <a:defRPr/>
              </a:pPr>
              <a:endParaRPr lang="es-ES"/>
            </a:p>
          </c:txPr>
          <c:showLegendKey val="0"/>
          <c:showVal val="1"/>
          <c:showCatName val="0"/>
          <c:showSerName val="0"/>
          <c:showPercent val="0"/>
          <c:showBubbleSize val="0"/>
        </c:dLbl>
      </c:pivotFmt>
      <c:pivotFmt>
        <c:idx val="7"/>
        <c:marker>
          <c:symbol val="none"/>
        </c:marker>
        <c:dLbl>
          <c:idx val="0"/>
          <c:spPr/>
          <c:txPr>
            <a:bodyPr/>
            <a:lstStyle/>
            <a:p>
              <a:pPr>
                <a:defRPr/>
              </a:pPr>
              <a:endParaRPr lang="es-ES"/>
            </a:p>
          </c:txPr>
          <c:showLegendKey val="0"/>
          <c:showVal val="1"/>
          <c:showCatName val="0"/>
          <c:showSerName val="0"/>
          <c:showPercent val="0"/>
          <c:showBubbleSize val="0"/>
        </c:dLbl>
      </c:pivotFmt>
      <c:pivotFmt>
        <c:idx val="8"/>
        <c:marker>
          <c:symbol val="none"/>
        </c:marker>
        <c:dLbl>
          <c:idx val="0"/>
          <c:spPr/>
          <c:txPr>
            <a:bodyPr/>
            <a:lstStyle/>
            <a:p>
              <a:pPr>
                <a:defRPr/>
              </a:pPr>
              <a:endParaRPr lang="es-ES"/>
            </a:p>
          </c:txPr>
          <c:showLegendKey val="0"/>
          <c:showVal val="1"/>
          <c:showCatName val="0"/>
          <c:showSerName val="0"/>
          <c:showPercent val="0"/>
          <c:showBubbleSize val="0"/>
        </c:dLbl>
      </c:pivotFmt>
    </c:pivotFmts>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tabulacio!$C$75:$C$76</c:f>
              <c:strCache>
                <c:ptCount val="1"/>
                <c:pt idx="0">
                  <c:v>18-29</c:v>
                </c:pt>
              </c:strCache>
            </c:strRef>
          </c:tx>
          <c:invertIfNegative val="0"/>
          <c:dLbls>
            <c:txPr>
              <a:bodyPr/>
              <a:lstStyle/>
              <a:p>
                <a:pPr>
                  <a:defRPr/>
                </a:pPr>
                <a:endParaRPr lang="es-ES"/>
              </a:p>
            </c:txPr>
            <c:showLegendKey val="0"/>
            <c:showVal val="1"/>
            <c:showCatName val="0"/>
            <c:showSerName val="0"/>
            <c:showPercent val="0"/>
            <c:showBubbleSize val="0"/>
            <c:showLeaderLines val="0"/>
          </c:dLbls>
          <c:cat>
            <c:strRef>
              <c:f>tabulacio!$B$77:$B$81</c:f>
              <c:strCache>
                <c:ptCount val="4"/>
                <c:pt idx="0">
                  <c:v>Taxi</c:v>
                </c:pt>
                <c:pt idx="1">
                  <c:v>Singular ride-hailing</c:v>
                </c:pt>
                <c:pt idx="2">
                  <c:v>Shared ride-hailing</c:v>
                </c:pt>
                <c:pt idx="3">
                  <c:v>Carsharing</c:v>
                </c:pt>
              </c:strCache>
            </c:strRef>
          </c:cat>
          <c:val>
            <c:numRef>
              <c:f>tabulacio!$C$77:$C$81</c:f>
              <c:numCache>
                <c:formatCode>0.00%</c:formatCode>
                <c:ptCount val="4"/>
                <c:pt idx="0">
                  <c:v>0.30198019801980247</c:v>
                </c:pt>
                <c:pt idx="1">
                  <c:v>0.12376237623762386</c:v>
                </c:pt>
                <c:pt idx="2">
                  <c:v>0.34158415841584183</c:v>
                </c:pt>
                <c:pt idx="3">
                  <c:v>0.23267326732673269</c:v>
                </c:pt>
              </c:numCache>
            </c:numRef>
          </c:val>
        </c:ser>
        <c:ser>
          <c:idx val="1"/>
          <c:order val="1"/>
          <c:tx>
            <c:strRef>
              <c:f>tabulacio!$D$75:$D$76</c:f>
              <c:strCache>
                <c:ptCount val="1"/>
                <c:pt idx="0">
                  <c:v>30-45</c:v>
                </c:pt>
              </c:strCache>
            </c:strRef>
          </c:tx>
          <c:invertIfNegative val="0"/>
          <c:dLbls>
            <c:dLbl>
              <c:idx val="1"/>
              <c:layout>
                <c:manualLayout>
                  <c:x val="4.8111837671417374E-3"/>
                  <c:y val="-1.0959471529105239E-2"/>
                </c:manualLayout>
              </c:layout>
              <c:showLegendKey val="0"/>
              <c:showVal val="1"/>
              <c:showCatName val="0"/>
              <c:showSerName val="0"/>
              <c:showPercent val="0"/>
              <c:showBubbleSize val="0"/>
            </c:dLbl>
            <c:txPr>
              <a:bodyPr/>
              <a:lstStyle/>
              <a:p>
                <a:pPr>
                  <a:defRPr/>
                </a:pPr>
                <a:endParaRPr lang="es-ES"/>
              </a:p>
            </c:txPr>
            <c:showLegendKey val="0"/>
            <c:showVal val="1"/>
            <c:showCatName val="0"/>
            <c:showSerName val="0"/>
            <c:showPercent val="0"/>
            <c:showBubbleSize val="0"/>
            <c:showLeaderLines val="0"/>
          </c:dLbls>
          <c:cat>
            <c:strRef>
              <c:f>tabulacio!$B$77:$B$81</c:f>
              <c:strCache>
                <c:ptCount val="4"/>
                <c:pt idx="0">
                  <c:v>Taxi</c:v>
                </c:pt>
                <c:pt idx="1">
                  <c:v>Singular ride-hailing</c:v>
                </c:pt>
                <c:pt idx="2">
                  <c:v>Shared ride-hailing</c:v>
                </c:pt>
                <c:pt idx="3">
                  <c:v>Carsharing</c:v>
                </c:pt>
              </c:strCache>
            </c:strRef>
          </c:cat>
          <c:val>
            <c:numRef>
              <c:f>tabulacio!$D$77:$D$81</c:f>
              <c:numCache>
                <c:formatCode>0.00%</c:formatCode>
                <c:ptCount val="4"/>
                <c:pt idx="0">
                  <c:v>0.3550000000000002</c:v>
                </c:pt>
                <c:pt idx="1">
                  <c:v>9.0000000000000024E-2</c:v>
                </c:pt>
                <c:pt idx="2">
                  <c:v>0.25</c:v>
                </c:pt>
                <c:pt idx="3">
                  <c:v>0.30500000000000027</c:v>
                </c:pt>
              </c:numCache>
            </c:numRef>
          </c:val>
        </c:ser>
        <c:ser>
          <c:idx val="2"/>
          <c:order val="2"/>
          <c:tx>
            <c:strRef>
              <c:f>tabulacio!$E$75:$E$76</c:f>
              <c:strCache>
                <c:ptCount val="1"/>
                <c:pt idx="0">
                  <c:v>46-55</c:v>
                </c:pt>
              </c:strCache>
            </c:strRef>
          </c:tx>
          <c:invertIfNegative val="0"/>
          <c:dLbls>
            <c:dLbl>
              <c:idx val="0"/>
              <c:layout>
                <c:manualLayout>
                  <c:x val="4.8111837671417374E-3"/>
                  <c:y val="-7.3063143527367794E-3"/>
                </c:manualLayout>
              </c:layout>
              <c:showLegendKey val="0"/>
              <c:showVal val="1"/>
              <c:showCatName val="0"/>
              <c:showSerName val="0"/>
              <c:showPercent val="0"/>
              <c:showBubbleSize val="0"/>
            </c:dLbl>
            <c:dLbl>
              <c:idx val="1"/>
              <c:layout>
                <c:manualLayout>
                  <c:x val="0"/>
                  <c:y val="-7.3063143527367794E-3"/>
                </c:manualLayout>
              </c:layout>
              <c:showLegendKey val="0"/>
              <c:showVal val="1"/>
              <c:showCatName val="0"/>
              <c:showSerName val="0"/>
              <c:showPercent val="0"/>
              <c:showBubbleSize val="0"/>
            </c:dLbl>
            <c:txPr>
              <a:bodyPr/>
              <a:lstStyle/>
              <a:p>
                <a:pPr>
                  <a:defRPr/>
                </a:pPr>
                <a:endParaRPr lang="es-ES"/>
              </a:p>
            </c:txPr>
            <c:showLegendKey val="0"/>
            <c:showVal val="1"/>
            <c:showCatName val="0"/>
            <c:showSerName val="0"/>
            <c:showPercent val="0"/>
            <c:showBubbleSize val="0"/>
            <c:showLeaderLines val="0"/>
          </c:dLbls>
          <c:cat>
            <c:strRef>
              <c:f>tabulacio!$B$77:$B$81</c:f>
              <c:strCache>
                <c:ptCount val="4"/>
                <c:pt idx="0">
                  <c:v>Taxi</c:v>
                </c:pt>
                <c:pt idx="1">
                  <c:v>Singular ride-hailing</c:v>
                </c:pt>
                <c:pt idx="2">
                  <c:v>Shared ride-hailing</c:v>
                </c:pt>
                <c:pt idx="3">
                  <c:v>Carsharing</c:v>
                </c:pt>
              </c:strCache>
            </c:strRef>
          </c:cat>
          <c:val>
            <c:numRef>
              <c:f>tabulacio!$E$77:$E$81</c:f>
              <c:numCache>
                <c:formatCode>0.00%</c:formatCode>
                <c:ptCount val="4"/>
                <c:pt idx="0">
                  <c:v>0.2850000000000002</c:v>
                </c:pt>
                <c:pt idx="1">
                  <c:v>5.5000000000000014E-2</c:v>
                </c:pt>
                <c:pt idx="2">
                  <c:v>0.25</c:v>
                </c:pt>
                <c:pt idx="3">
                  <c:v>0.4100000000000002</c:v>
                </c:pt>
              </c:numCache>
            </c:numRef>
          </c:val>
        </c:ser>
        <c:dLbls>
          <c:showLegendKey val="0"/>
          <c:showVal val="0"/>
          <c:showCatName val="0"/>
          <c:showSerName val="0"/>
          <c:showPercent val="0"/>
          <c:showBubbleSize val="0"/>
        </c:dLbls>
        <c:gapWidth val="150"/>
        <c:shape val="box"/>
        <c:axId val="203571584"/>
        <c:axId val="203573504"/>
        <c:axId val="0"/>
      </c:bar3DChart>
      <c:catAx>
        <c:axId val="203571584"/>
        <c:scaling>
          <c:orientation val="minMax"/>
        </c:scaling>
        <c:delete val="0"/>
        <c:axPos val="l"/>
        <c:title>
          <c:tx>
            <c:rich>
              <a:bodyPr/>
              <a:lstStyle/>
              <a:p>
                <a:pPr>
                  <a:defRPr/>
                </a:pPr>
                <a:r>
                  <a:rPr lang="es-ES"/>
                  <a:t>Mean</a:t>
                </a:r>
                <a:r>
                  <a:rPr lang="es-ES" baseline="0"/>
                  <a:t> of transport</a:t>
                </a:r>
                <a:endParaRPr lang="es-ES"/>
              </a:p>
            </c:rich>
          </c:tx>
          <c:overlay val="0"/>
        </c:title>
        <c:majorTickMark val="none"/>
        <c:minorTickMark val="none"/>
        <c:tickLblPos val="nextTo"/>
        <c:crossAx val="203573504"/>
        <c:crosses val="autoZero"/>
        <c:auto val="1"/>
        <c:lblAlgn val="ctr"/>
        <c:lblOffset val="100"/>
        <c:noMultiLvlLbl val="0"/>
      </c:catAx>
      <c:valAx>
        <c:axId val="203573504"/>
        <c:scaling>
          <c:orientation val="minMax"/>
        </c:scaling>
        <c:delete val="0"/>
        <c:axPos val="b"/>
        <c:majorGridlines>
          <c:spPr>
            <a:ln>
              <a:noFill/>
            </a:ln>
          </c:spPr>
        </c:majorGridlines>
        <c:title>
          <c:tx>
            <c:rich>
              <a:bodyPr/>
              <a:lstStyle/>
              <a:p>
                <a:pPr>
                  <a:defRPr/>
                </a:pPr>
                <a:r>
                  <a:rPr lang="es-ES"/>
                  <a:t>Intention</a:t>
                </a:r>
                <a:r>
                  <a:rPr lang="es-ES" baseline="0"/>
                  <a:t> of use</a:t>
                </a:r>
                <a:endParaRPr lang="es-ES"/>
              </a:p>
            </c:rich>
          </c:tx>
          <c:overlay val="0"/>
        </c:title>
        <c:numFmt formatCode="0%" sourceLinked="0"/>
        <c:majorTickMark val="out"/>
        <c:minorTickMark val="none"/>
        <c:tickLblPos val="nextTo"/>
        <c:crossAx val="203571584"/>
        <c:crosses val="autoZero"/>
        <c:crossBetween val="between"/>
      </c:valAx>
    </c:plotArea>
    <c:legend>
      <c:legendPos val="r"/>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46B636F-9DAE-4433-934F-E4B59027A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9297</Words>
  <Characters>51139</Characters>
  <Application>Microsoft Office Word</Application>
  <DocSecurity>0</DocSecurity>
  <Lines>426</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RAND Europe Cambridge Ltd</Company>
  <LinksUpToDate>false</LinksUpToDate>
  <CharactersWithSpaces>60316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Mireia Gilibert</dc:creator>
  <cp:lastModifiedBy>Mireia Gilibert Junyent</cp:lastModifiedBy>
  <cp:revision>2</cp:revision>
  <cp:lastPrinted>2017-08-29T08:15:00Z</cp:lastPrinted>
  <dcterms:created xsi:type="dcterms:W3CDTF">2017-09-01T07:17:00Z</dcterms:created>
  <dcterms:modified xsi:type="dcterms:W3CDTF">2017-09-01T07:17:00Z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id="rJjPJHkE"/&gt;&lt;style id="http://www.zotero.org/styles/apa" locale="en-GB"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