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79F" w:rsidRPr="00001031" w:rsidRDefault="00965FCB" w:rsidP="00C2679F">
      <w:pPr>
        <w:pStyle w:val="Title"/>
      </w:pPr>
      <w:r w:rsidRPr="00001031">
        <w:t>Short-term forecasts of travel time and incident risk as tools of proactive traffic management</w:t>
      </w:r>
    </w:p>
    <w:p w:rsidR="00C2679F" w:rsidRPr="006256BE" w:rsidRDefault="00965FCB" w:rsidP="00C2679F">
      <w:pPr>
        <w:pStyle w:val="AuthorsName"/>
        <w:rPr>
          <w:lang w:val="fi-FI"/>
        </w:rPr>
      </w:pPr>
      <w:r w:rsidRPr="006256BE">
        <w:rPr>
          <w:lang w:val="fi-FI"/>
        </w:rPr>
        <w:t>Satu Innamaa and Eetu Pilli-Sihvola</w:t>
      </w:r>
    </w:p>
    <w:p w:rsidR="00C2679F" w:rsidRPr="00001031" w:rsidRDefault="00965FCB" w:rsidP="00C2679F">
      <w:pPr>
        <w:pStyle w:val="AuthorsName"/>
      </w:pPr>
      <w:r w:rsidRPr="00001031">
        <w:t>VTT Technical Research Centre of Finland</w:t>
      </w:r>
    </w:p>
    <w:p w:rsidR="00C2679F" w:rsidRPr="00001031" w:rsidRDefault="00C2679F" w:rsidP="00C2679F">
      <w:pPr>
        <w:jc w:val="both"/>
        <w:rPr>
          <w:rFonts w:ascii="Calibri" w:hAnsi="Calibri"/>
          <w:sz w:val="22"/>
          <w:szCs w:val="22"/>
        </w:rPr>
      </w:pPr>
    </w:p>
    <w:p w:rsidR="00C2679F" w:rsidRPr="00001031" w:rsidRDefault="00965FCB" w:rsidP="0068012F">
      <w:pPr>
        <w:pStyle w:val="Heading1"/>
      </w:pPr>
      <w:r w:rsidRPr="00001031">
        <w:t>Introduction</w:t>
      </w:r>
    </w:p>
    <w:p w:rsidR="00965FCB" w:rsidRPr="006256BE" w:rsidRDefault="00965FCB" w:rsidP="0068012F">
      <w:pPr>
        <w:pStyle w:val="Text"/>
      </w:pPr>
      <w:r w:rsidRPr="006256BE">
        <w:t>In road network</w:t>
      </w:r>
      <w:r w:rsidR="00001031" w:rsidRPr="006256BE">
        <w:t xml:space="preserve"> management</w:t>
      </w:r>
      <w:r w:rsidRPr="006256BE">
        <w:t xml:space="preserve">, taking action before traffic conditions become congested is often more effective than reacting </w:t>
      </w:r>
      <w:r w:rsidR="00001031" w:rsidRPr="006256BE">
        <w:t xml:space="preserve">as </w:t>
      </w:r>
      <w:r w:rsidR="0025329D" w:rsidRPr="006256BE">
        <w:t>problems</w:t>
      </w:r>
      <w:r w:rsidR="00001031" w:rsidRPr="006256BE">
        <w:t xml:space="preserve"> occur</w:t>
      </w:r>
      <w:r w:rsidRPr="006256BE">
        <w:t xml:space="preserve">. </w:t>
      </w:r>
      <w:r w:rsidR="0025329D" w:rsidRPr="006256BE">
        <w:t xml:space="preserve">For this proactive traffic management to work there must be enough </w:t>
      </w:r>
      <w:r w:rsidRPr="006256BE">
        <w:t xml:space="preserve">information </w:t>
      </w:r>
      <w:r w:rsidR="0025329D" w:rsidRPr="006256BE">
        <w:t>on</w:t>
      </w:r>
      <w:r w:rsidRPr="006256BE">
        <w:t xml:space="preserve"> the status of traffic flow (e.g. average speeds, travel times)</w:t>
      </w:r>
      <w:r w:rsidR="0025329D" w:rsidRPr="006256BE">
        <w:t>,</w:t>
      </w:r>
      <w:r w:rsidRPr="006256BE">
        <w:t xml:space="preserve"> </w:t>
      </w:r>
      <w:r w:rsidR="0025329D" w:rsidRPr="006256BE">
        <w:t>including</w:t>
      </w:r>
      <w:r w:rsidRPr="006256BE">
        <w:t xml:space="preserve"> short-term forecasts</w:t>
      </w:r>
      <w:r w:rsidR="0025329D" w:rsidRPr="006256BE">
        <w:t xml:space="preserve"> of traffic conditions</w:t>
      </w:r>
      <w:r w:rsidRPr="006256BE">
        <w:t>.</w:t>
      </w:r>
    </w:p>
    <w:p w:rsidR="00965FCB" w:rsidRPr="00001031" w:rsidRDefault="0025329D" w:rsidP="0068012F">
      <w:pPr>
        <w:pStyle w:val="Text"/>
      </w:pPr>
      <w:r w:rsidRPr="006256BE">
        <w:t>T</w:t>
      </w:r>
      <w:r w:rsidR="00965FCB" w:rsidRPr="006256BE">
        <w:t xml:space="preserve">he </w:t>
      </w:r>
      <w:r w:rsidR="00904E66" w:rsidRPr="006256BE">
        <w:t xml:space="preserve">Finnish Transport Agency </w:t>
      </w:r>
      <w:r w:rsidRPr="006256BE">
        <w:t>has been</w:t>
      </w:r>
      <w:r w:rsidR="00965FCB" w:rsidRPr="006256BE">
        <w:t xml:space="preserve"> searching for a method that would give a situation-aware overall understanding of traffic on the road network at any given time </w:t>
      </w:r>
      <w:r w:rsidR="00661C11" w:rsidRPr="006256BE">
        <w:t>in order to assist</w:t>
      </w:r>
      <w:r w:rsidR="00965FCB" w:rsidRPr="006256BE">
        <w:t xml:space="preserve"> operators at Finnish traffic management centres (TMCs).</w:t>
      </w:r>
      <w:r w:rsidR="00965FCB" w:rsidRPr="00001031">
        <w:t xml:space="preserve"> </w:t>
      </w:r>
      <w:r w:rsidR="00661C11">
        <w:t>The visual presentation of this information</w:t>
      </w:r>
      <w:r w:rsidR="00965FCB" w:rsidRPr="00001031">
        <w:t xml:space="preserve"> should include short-term prediction</w:t>
      </w:r>
      <w:r w:rsidR="00661C11">
        <w:t>s</w:t>
      </w:r>
      <w:r w:rsidR="00965FCB" w:rsidRPr="00001031">
        <w:t xml:space="preserve"> of traffic </w:t>
      </w:r>
      <w:r w:rsidR="00661C11">
        <w:t>developments</w:t>
      </w:r>
      <w:r w:rsidR="00965FCB" w:rsidRPr="00001031">
        <w:t>.</w:t>
      </w:r>
      <w:r w:rsidR="00661C11">
        <w:t xml:space="preserve"> </w:t>
      </w:r>
    </w:p>
    <w:p w:rsidR="007D2175" w:rsidRPr="00001031" w:rsidRDefault="00661C11" w:rsidP="007D2175">
      <w:pPr>
        <w:pStyle w:val="Text"/>
      </w:pPr>
      <w:r>
        <w:t>In view of the above,</w:t>
      </w:r>
      <w:r w:rsidR="007D2175" w:rsidRPr="00001031">
        <w:t xml:space="preserve"> it was essential that the approach be practical, the output of sufficient quality, and information on the quality of forecasts easily accessible. Specifically, a key element in proactive traffic management is the prediction of travel time in different traffic and road weather circumstances. In addition, ways to monitor and identify risk factors on the road network should be developed </w:t>
      </w:r>
      <w:r>
        <w:t xml:space="preserve">in order </w:t>
      </w:r>
      <w:r w:rsidR="007D2175" w:rsidRPr="00001031">
        <w:t xml:space="preserve">to anticipate the potential emergence of accidents and other traffic incidents and predict their likely consequences. </w:t>
      </w:r>
    </w:p>
    <w:p w:rsidR="00965FCB" w:rsidRPr="00001031" w:rsidRDefault="0010294F" w:rsidP="0068012F">
      <w:pPr>
        <w:pStyle w:val="Text"/>
      </w:pPr>
      <w:r>
        <w:t>The purpose of the paper is to</w:t>
      </w:r>
      <w:r w:rsidR="00904E66" w:rsidRPr="00001031">
        <w:t xml:space="preserve"> describe methods for creating an accurate overall understanding of the current status of the transport system and predict</w:t>
      </w:r>
      <w:r>
        <w:t>ing</w:t>
      </w:r>
      <w:r w:rsidR="00904E66" w:rsidRPr="00001031">
        <w:t xml:space="preserve"> changes in traffic conditions. </w:t>
      </w:r>
      <w:r>
        <w:t>Here the</w:t>
      </w:r>
      <w:r w:rsidRPr="00001031">
        <w:t xml:space="preserve"> </w:t>
      </w:r>
      <w:r w:rsidR="00904E66" w:rsidRPr="00001031">
        <w:t xml:space="preserve">most important task is travel time prediction. </w:t>
      </w:r>
      <w:r>
        <w:t xml:space="preserve">We also discuss the </w:t>
      </w:r>
      <w:r w:rsidR="00904E66" w:rsidRPr="00001031">
        <w:t>need to find methods for assessing incident risk.</w:t>
      </w:r>
      <w:r w:rsidR="0085558C" w:rsidRPr="00001031">
        <w:t xml:space="preserve"> The full results</w:t>
      </w:r>
      <w:r w:rsidR="004C29FA" w:rsidRPr="00001031">
        <w:t xml:space="preserve"> of the work</w:t>
      </w:r>
      <w:r w:rsidR="0085558C" w:rsidRPr="00001031">
        <w:t xml:space="preserve"> are provided in a research report </w:t>
      </w:r>
      <w:r w:rsidR="007651EE" w:rsidRPr="00001031">
        <w:t xml:space="preserve">by </w:t>
      </w:r>
      <w:r w:rsidR="0085558C" w:rsidRPr="00001031">
        <w:t>Innamaa et al. (2013).</w:t>
      </w:r>
    </w:p>
    <w:p w:rsidR="00965FCB" w:rsidRPr="00001031" w:rsidRDefault="007D2175" w:rsidP="007D2175">
      <w:pPr>
        <w:pStyle w:val="Heading1"/>
        <w:keepNext/>
      </w:pPr>
      <w:r w:rsidRPr="00001031">
        <w:t>Travel time prediction</w:t>
      </w:r>
    </w:p>
    <w:p w:rsidR="00427B9E" w:rsidRPr="00001031" w:rsidRDefault="0010294F" w:rsidP="007D2175">
      <w:pPr>
        <w:pStyle w:val="Text"/>
      </w:pPr>
      <w:r>
        <w:t>As mentioned above, t</w:t>
      </w:r>
      <w:r w:rsidRPr="00001031">
        <w:t xml:space="preserve">ravel </w:t>
      </w:r>
      <w:r w:rsidR="00124F86" w:rsidRPr="00001031">
        <w:t xml:space="preserve">time prediction is the most important </w:t>
      </w:r>
      <w:r w:rsidR="007B35E8" w:rsidRPr="00001031">
        <w:t xml:space="preserve">task </w:t>
      </w:r>
      <w:r>
        <w:t xml:space="preserve">in </w:t>
      </w:r>
      <w:r w:rsidR="00124F86" w:rsidRPr="00001031">
        <w:t xml:space="preserve">understanding </w:t>
      </w:r>
      <w:r>
        <w:t xml:space="preserve">and predicting </w:t>
      </w:r>
      <w:r w:rsidR="00124F86" w:rsidRPr="00001031">
        <w:t xml:space="preserve">transport system </w:t>
      </w:r>
      <w:r>
        <w:t>status</w:t>
      </w:r>
      <w:r w:rsidR="00124F86" w:rsidRPr="00001031">
        <w:t xml:space="preserve">. </w:t>
      </w:r>
      <w:r w:rsidR="00427B9E" w:rsidRPr="00001031">
        <w:t>For short-term prediction of travel time a</w:t>
      </w:r>
      <w:r w:rsidR="007B35E8" w:rsidRPr="00001031">
        <w:t xml:space="preserve"> known</w:t>
      </w:r>
      <w:r w:rsidR="00427B9E" w:rsidRPr="00001031">
        <w:t xml:space="preserve"> Danish best practice </w:t>
      </w:r>
      <w:r w:rsidR="007B35E8" w:rsidRPr="00001031">
        <w:t xml:space="preserve">was piloted </w:t>
      </w:r>
      <w:r w:rsidR="00427B9E" w:rsidRPr="00001031">
        <w:t xml:space="preserve">in </w:t>
      </w:r>
      <w:r w:rsidR="00124F86" w:rsidRPr="00001031">
        <w:t xml:space="preserve">the </w:t>
      </w:r>
      <w:r w:rsidR="00427B9E" w:rsidRPr="00001031">
        <w:t>Helsinki metropolitan area in Finland.</w:t>
      </w:r>
      <w:r w:rsidR="00124FD2" w:rsidRPr="00001031">
        <w:t xml:space="preserve"> </w:t>
      </w:r>
    </w:p>
    <w:p w:rsidR="00427B9E" w:rsidRPr="00001031" w:rsidRDefault="007D2175" w:rsidP="007D2175">
      <w:pPr>
        <w:pStyle w:val="Text"/>
      </w:pPr>
      <w:r w:rsidRPr="00001031">
        <w:lastRenderedPageBreak/>
        <w:t xml:space="preserve">The Danish Road Directorate uses the </w:t>
      </w:r>
      <w:proofErr w:type="spellStart"/>
      <w:r w:rsidRPr="00001031">
        <w:t>dynRP</w:t>
      </w:r>
      <w:proofErr w:type="spellEnd"/>
      <w:r w:rsidRPr="00001031">
        <w:t xml:space="preserve"> model to predict travel times automatically in real time (Danish Road Directorate, no date). The model is based on two curves: </w:t>
      </w:r>
      <w:r w:rsidR="0010294F" w:rsidRPr="00001031">
        <w:t>free</w:t>
      </w:r>
      <w:r w:rsidR="00845393">
        <w:t xml:space="preserve"> </w:t>
      </w:r>
      <w:r w:rsidRPr="00001031">
        <w:t xml:space="preserve">flow speed and </w:t>
      </w:r>
      <w:r w:rsidR="007B35E8" w:rsidRPr="00001031">
        <w:t>historic average</w:t>
      </w:r>
      <w:r w:rsidRPr="00001031">
        <w:t xml:space="preserve">. Through interpolation and extrapolation, the travel time is predicted </w:t>
      </w:r>
      <w:r w:rsidR="003B195B" w:rsidRPr="00001031">
        <w:t xml:space="preserve">by </w:t>
      </w:r>
      <w:r w:rsidRPr="00001031">
        <w:t xml:space="preserve">assuming the ratio </w:t>
      </w:r>
      <w:r w:rsidR="0010294F">
        <w:t>of</w:t>
      </w:r>
      <w:r w:rsidR="0010294F" w:rsidRPr="00001031">
        <w:t xml:space="preserve"> </w:t>
      </w:r>
      <w:r w:rsidRPr="00001031">
        <w:t>measured</w:t>
      </w:r>
      <w:r w:rsidR="007B35E8" w:rsidRPr="00001031">
        <w:t xml:space="preserve"> loop detector</w:t>
      </w:r>
      <w:r w:rsidRPr="00001031">
        <w:t xml:space="preserve"> travel time </w:t>
      </w:r>
      <w:r w:rsidR="0010294F">
        <w:t>to the</w:t>
      </w:r>
      <w:r w:rsidR="0010294F" w:rsidRPr="00001031">
        <w:t xml:space="preserve"> </w:t>
      </w:r>
      <w:r w:rsidRPr="00001031">
        <w:t xml:space="preserve">historic average to be constant. Historic averages are updated automatically daily using e.g. the past </w:t>
      </w:r>
      <w:r w:rsidR="0010294F">
        <w:t>6</w:t>
      </w:r>
      <w:r w:rsidR="0010294F" w:rsidRPr="00001031">
        <w:t xml:space="preserve"> </w:t>
      </w:r>
      <w:r w:rsidRPr="00001031">
        <w:t xml:space="preserve">months of data. All </w:t>
      </w:r>
      <w:r w:rsidR="003B195B" w:rsidRPr="00001031">
        <w:t xml:space="preserve">five </w:t>
      </w:r>
      <w:r w:rsidRPr="00001031">
        <w:t xml:space="preserve">day types are treated separately: Monday, Tuesday / Wednesday / Thursday, Friday, Saturday, and Sunday / Holiday. </w:t>
      </w:r>
    </w:p>
    <w:p w:rsidR="007D2175" w:rsidRPr="00001031" w:rsidRDefault="00427B9E" w:rsidP="007D2175">
      <w:pPr>
        <w:pStyle w:val="Text"/>
      </w:pPr>
      <w:r w:rsidRPr="00001031">
        <w:t xml:space="preserve">In Denmark, the forecast is given for </w:t>
      </w:r>
      <w:r w:rsidR="003B195B" w:rsidRPr="00001031">
        <w:t xml:space="preserve">the next </w:t>
      </w:r>
      <w:r w:rsidRPr="00001031">
        <w:t xml:space="preserve">15 and 30 minutes. </w:t>
      </w:r>
      <w:r w:rsidR="007D2175" w:rsidRPr="00001031">
        <w:t xml:space="preserve">Historic averages are used only in normal traffic conditions. The normality of </w:t>
      </w:r>
      <w:r w:rsidR="003B195B" w:rsidRPr="00001031">
        <w:t xml:space="preserve">a </w:t>
      </w:r>
      <w:r w:rsidR="007D2175" w:rsidRPr="00001031">
        <w:t xml:space="preserve">condition is determined </w:t>
      </w:r>
      <w:r w:rsidR="003B195B" w:rsidRPr="00001031">
        <w:t>based on</w:t>
      </w:r>
      <w:r w:rsidR="007D2175" w:rsidRPr="00001031">
        <w:t xml:space="preserve"> threshold values. If the traffic condition is considere</w:t>
      </w:r>
      <w:r w:rsidR="003B195B" w:rsidRPr="00001031">
        <w:t>d abnormal, the last measured value</w:t>
      </w:r>
      <w:r w:rsidR="007D2175" w:rsidRPr="00001031">
        <w:t xml:space="preserve"> is used as the best forecast. </w:t>
      </w:r>
    </w:p>
    <w:p w:rsidR="00A461D6" w:rsidRPr="00001031" w:rsidRDefault="00A461D6" w:rsidP="00A461D6">
      <w:pPr>
        <w:pStyle w:val="Text"/>
      </w:pPr>
      <w:r w:rsidRPr="00001031">
        <w:t xml:space="preserve">The </w:t>
      </w:r>
      <w:proofErr w:type="spellStart"/>
      <w:r w:rsidR="00DA26BB" w:rsidRPr="00001031">
        <w:t>dyn</w:t>
      </w:r>
      <w:r w:rsidRPr="00001031">
        <w:t>R</w:t>
      </w:r>
      <w:r w:rsidR="00DA26BB" w:rsidRPr="00001031">
        <w:t>P</w:t>
      </w:r>
      <w:proofErr w:type="spellEnd"/>
      <w:r w:rsidRPr="00001031">
        <w:t xml:space="preserve"> travel time prediction model was piloted on Ring I in the Helsinki metropolitan area</w:t>
      </w:r>
      <w:r w:rsidR="0010294F">
        <w:t>,</w:t>
      </w:r>
      <w:r w:rsidR="00427B9E" w:rsidRPr="00001031">
        <w:t xml:space="preserve"> </w:t>
      </w:r>
      <w:r w:rsidR="00ED1763" w:rsidRPr="00001031">
        <w:t xml:space="preserve">which is </w:t>
      </w:r>
      <w:r w:rsidR="0010294F">
        <w:t>one of</w:t>
      </w:r>
      <w:r w:rsidR="0010294F" w:rsidRPr="00001031">
        <w:t xml:space="preserve"> </w:t>
      </w:r>
      <w:r w:rsidR="00ED1763" w:rsidRPr="00001031">
        <w:t>the most congested roads in Finland</w:t>
      </w:r>
      <w:r w:rsidRPr="00001031">
        <w:t>. The pilot was conducted on two links</w:t>
      </w:r>
      <w:r w:rsidR="00854D38" w:rsidRPr="00001031">
        <w:t>:</w:t>
      </w:r>
      <w:r w:rsidRPr="00001031">
        <w:t xml:space="preserve"> </w:t>
      </w:r>
      <w:proofErr w:type="spellStart"/>
      <w:r w:rsidRPr="00001031">
        <w:t>Konala</w:t>
      </w:r>
      <w:proofErr w:type="spellEnd"/>
      <w:r w:rsidRPr="00001031">
        <w:t>–</w:t>
      </w:r>
      <w:proofErr w:type="spellStart"/>
      <w:r w:rsidRPr="00001031">
        <w:t>Pakila</w:t>
      </w:r>
      <w:proofErr w:type="spellEnd"/>
      <w:r w:rsidRPr="00001031">
        <w:t xml:space="preserve"> (eastbound</w:t>
      </w:r>
      <w:r w:rsidR="00854D38" w:rsidRPr="00001031">
        <w:t>, free flow travel time approximately 330 seconds</w:t>
      </w:r>
      <w:r w:rsidRPr="00001031">
        <w:t>) and Pukinmäki–</w:t>
      </w:r>
      <w:proofErr w:type="spellStart"/>
      <w:r w:rsidRPr="00001031">
        <w:t>Konala</w:t>
      </w:r>
      <w:proofErr w:type="spellEnd"/>
      <w:r w:rsidRPr="00001031">
        <w:t xml:space="preserve"> (westbound</w:t>
      </w:r>
      <w:r w:rsidR="00854D38" w:rsidRPr="00001031">
        <w:t>, free flow travel time approx</w:t>
      </w:r>
      <w:r w:rsidR="00981C2C" w:rsidRPr="00001031">
        <w:t>imately</w:t>
      </w:r>
      <w:r w:rsidR="00854D38" w:rsidRPr="00001031">
        <w:t xml:space="preserve"> 180 seconds</w:t>
      </w:r>
      <w:r w:rsidRPr="00001031">
        <w:t xml:space="preserve">). </w:t>
      </w:r>
    </w:p>
    <w:p w:rsidR="00A461D6" w:rsidRPr="00001031" w:rsidRDefault="00854D38" w:rsidP="00A461D6">
      <w:pPr>
        <w:pStyle w:val="Text"/>
      </w:pPr>
      <w:r w:rsidRPr="00001031">
        <w:t xml:space="preserve">As traffic monitoring on Ring I is based on a </w:t>
      </w:r>
      <w:r w:rsidR="00DA26BB" w:rsidRPr="00001031">
        <w:t xml:space="preserve">travel time camera system, </w:t>
      </w:r>
      <w:proofErr w:type="spellStart"/>
      <w:r w:rsidR="00DA26BB" w:rsidRPr="00001031">
        <w:t>dyn</w:t>
      </w:r>
      <w:r w:rsidRPr="00001031">
        <w:t>R</w:t>
      </w:r>
      <w:r w:rsidR="00DA26BB" w:rsidRPr="00001031">
        <w:t>P</w:t>
      </w:r>
      <w:proofErr w:type="spellEnd"/>
      <w:r w:rsidRPr="00001031">
        <w:t xml:space="preserve"> needed to be slightly modified. </w:t>
      </w:r>
      <w:r w:rsidR="00A461D6" w:rsidRPr="00001031">
        <w:t>The piloted version of the model was based on direct travel time measurements monitored using the existing licence plate re</w:t>
      </w:r>
      <w:r w:rsidR="003B64DF" w:rsidRPr="00001031">
        <w:t>cognition (LPR)</w:t>
      </w:r>
      <w:r w:rsidR="00A461D6" w:rsidRPr="00001031">
        <w:t xml:space="preserve"> camera system. As travel time observations include outliers –</w:t>
      </w:r>
      <w:r w:rsidR="00845393">
        <w:t xml:space="preserve"> </w:t>
      </w:r>
      <w:r w:rsidR="00A461D6" w:rsidRPr="00001031">
        <w:t xml:space="preserve">due </w:t>
      </w:r>
      <w:r w:rsidR="00845393" w:rsidRPr="00001031">
        <w:t xml:space="preserve">both </w:t>
      </w:r>
      <w:r w:rsidR="00A461D6" w:rsidRPr="00001031">
        <w:t>to failures in the monitoring system and to vehicles stopping on the way</w:t>
      </w:r>
      <w:r w:rsidR="00845393">
        <w:t>,</w:t>
      </w:r>
      <w:r w:rsidR="00A461D6" w:rsidRPr="00001031">
        <w:t xml:space="preserve"> </w:t>
      </w:r>
      <w:r w:rsidR="003B64DF" w:rsidRPr="00001031">
        <w:t xml:space="preserve">e.g. </w:t>
      </w:r>
      <w:r w:rsidR="00A461D6" w:rsidRPr="00001031">
        <w:t xml:space="preserve">at a supermarket – the median </w:t>
      </w:r>
      <w:r w:rsidR="007E0227" w:rsidRPr="00001031">
        <w:t xml:space="preserve">seemed to be </w:t>
      </w:r>
      <w:r w:rsidR="00A461D6" w:rsidRPr="00001031">
        <w:t xml:space="preserve">a more suitable indicator than </w:t>
      </w:r>
      <w:r w:rsidR="003B64DF" w:rsidRPr="00001031">
        <w:t>the</w:t>
      </w:r>
      <w:r w:rsidR="00A461D6" w:rsidRPr="00001031">
        <w:t xml:space="preserve"> average value. Data from 2011 was used in creating the model and that from 2012 was used in testing it.</w:t>
      </w:r>
    </w:p>
    <w:p w:rsidR="00A461D6" w:rsidRPr="00001031" w:rsidRDefault="00845393" w:rsidP="00A461D6">
      <w:pPr>
        <w:pStyle w:val="Text"/>
      </w:pPr>
      <w:r>
        <w:t>The t</w:t>
      </w:r>
      <w:r w:rsidR="00A461D6" w:rsidRPr="00001031">
        <w:t>ravel time data</w:t>
      </w:r>
      <w:r>
        <w:t xml:space="preserve"> outliers resulted in</w:t>
      </w:r>
      <w:r w:rsidR="00A461D6" w:rsidRPr="00001031">
        <w:t xml:space="preserve"> small numbers of travel time observations also </w:t>
      </w:r>
      <w:r>
        <w:t>creating</w:t>
      </w:r>
      <w:r w:rsidRPr="00001031">
        <w:t xml:space="preserve"> </w:t>
      </w:r>
      <w:r w:rsidR="00A461D6" w:rsidRPr="00001031">
        <w:t xml:space="preserve">outliers to the median values. </w:t>
      </w:r>
      <w:r>
        <w:t>It</w:t>
      </w:r>
      <w:r w:rsidR="00A461D6" w:rsidRPr="00001031">
        <w:t xml:space="preserve"> was </w:t>
      </w:r>
      <w:r>
        <w:t xml:space="preserve">thus </w:t>
      </w:r>
      <w:r w:rsidR="00A461D6" w:rsidRPr="00001031">
        <w:t xml:space="preserve">decided </w:t>
      </w:r>
      <w:r>
        <w:t>to base the</w:t>
      </w:r>
      <w:r w:rsidR="00A461D6" w:rsidRPr="00001031">
        <w:t xml:space="preserve"> median on at least </w:t>
      </w:r>
      <w:r w:rsidR="00F5427E" w:rsidRPr="00001031">
        <w:t>five</w:t>
      </w:r>
      <w:r w:rsidR="00A461D6" w:rsidRPr="00001031">
        <w:t xml:space="preserve"> observations before </w:t>
      </w:r>
      <w:r>
        <w:t>inclusion</w:t>
      </w:r>
      <w:r w:rsidR="00A461D6" w:rsidRPr="00001031">
        <w:t xml:space="preserve"> in calculation</w:t>
      </w:r>
      <w:r>
        <w:t>s</w:t>
      </w:r>
      <w:r w:rsidR="00A461D6" w:rsidRPr="00001031">
        <w:t xml:space="preserve"> or testing of the model. The proportion of time with a sufficient number of observations was 45.4–46.3% on test links.</w:t>
      </w:r>
    </w:p>
    <w:p w:rsidR="00A461D6" w:rsidRPr="00001031" w:rsidRDefault="007E0227" w:rsidP="00A461D6">
      <w:pPr>
        <w:pStyle w:val="Text"/>
      </w:pPr>
      <w:r w:rsidRPr="00001031">
        <w:t>T</w:t>
      </w:r>
      <w:r w:rsidR="009F2428" w:rsidRPr="00001031">
        <w:t xml:space="preserve">he model was built for </w:t>
      </w:r>
      <w:r w:rsidR="00B97497" w:rsidRPr="00001031">
        <w:t xml:space="preserve">the year </w:t>
      </w:r>
      <w:r w:rsidR="009F2428" w:rsidRPr="00001031">
        <w:t xml:space="preserve">2011 using all travel time medians based on at least </w:t>
      </w:r>
      <w:r w:rsidR="00F5427E" w:rsidRPr="00001031">
        <w:t>five</w:t>
      </w:r>
      <w:r w:rsidR="009F2428" w:rsidRPr="00001031">
        <w:t xml:space="preserve"> observations</w:t>
      </w:r>
      <w:r w:rsidR="005133B6" w:rsidRPr="00001031">
        <w:t xml:space="preserve"> (</w:t>
      </w:r>
      <w:r w:rsidR="005133B6" w:rsidRPr="00001031">
        <w:fldChar w:fldCharType="begin"/>
      </w:r>
      <w:r w:rsidR="005133B6" w:rsidRPr="00001031">
        <w:instrText xml:space="preserve"> REF _Ref351554194 \h </w:instrText>
      </w:r>
      <w:r w:rsidR="005133B6" w:rsidRPr="00001031">
        <w:fldChar w:fldCharType="separate"/>
      </w:r>
      <w:r w:rsidR="005133B6" w:rsidRPr="00001031">
        <w:rPr>
          <w:i/>
        </w:rPr>
        <w:t>Figure 1</w:t>
      </w:r>
      <w:r w:rsidR="005133B6" w:rsidRPr="00001031">
        <w:fldChar w:fldCharType="end"/>
      </w:r>
      <w:r w:rsidR="005133B6" w:rsidRPr="00001031">
        <w:t>)</w:t>
      </w:r>
      <w:r w:rsidR="009F2428" w:rsidRPr="00001031">
        <w:t xml:space="preserve">. The model was calculated as the median value of median travel times measured for that particular moment in time (1 minute slot) and weekday. In the models, travel time was considered equal to free flow travel time if fewer than </w:t>
      </w:r>
      <w:r w:rsidR="00F5427E" w:rsidRPr="00001031">
        <w:t>five</w:t>
      </w:r>
      <w:r w:rsidR="009F2428" w:rsidRPr="00001031">
        <w:t xml:space="preserve"> medians were available for the corresponding minute and day.</w:t>
      </w:r>
    </w:p>
    <w:p w:rsidR="005133B6" w:rsidRPr="00001031" w:rsidRDefault="005133B6" w:rsidP="00A461D6">
      <w:pPr>
        <w:pStyle w:val="Text"/>
      </w:pPr>
      <w:r w:rsidRPr="00001031">
        <w:rPr>
          <w:noProof/>
          <w:lang w:eastAsia="en-GB"/>
        </w:rPr>
        <w:lastRenderedPageBreak/>
        <w:drawing>
          <wp:inline distT="0" distB="0" distL="0" distR="0" wp14:anchorId="2838F2C2" wp14:editId="2BC5BC9E">
            <wp:extent cx="5287992" cy="3458448"/>
            <wp:effectExtent l="0" t="0" r="8255" b="889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7308" cy="3458001"/>
                    </a:xfrm>
                    <a:prstGeom prst="rect">
                      <a:avLst/>
                    </a:prstGeom>
                    <a:noFill/>
                  </pic:spPr>
                </pic:pic>
              </a:graphicData>
            </a:graphic>
          </wp:inline>
        </w:drawing>
      </w:r>
    </w:p>
    <w:p w:rsidR="005133B6" w:rsidRPr="00001031" w:rsidRDefault="005133B6" w:rsidP="005133B6">
      <w:pPr>
        <w:pStyle w:val="Text"/>
        <w:ind w:left="1418" w:hanging="1418"/>
        <w:rPr>
          <w:i/>
        </w:rPr>
      </w:pPr>
      <w:bookmarkStart w:id="0" w:name="_Ref351554194"/>
      <w:proofErr w:type="gramStart"/>
      <w:r w:rsidRPr="00001031">
        <w:rPr>
          <w:i/>
        </w:rPr>
        <w:t xml:space="preserve">Figure </w:t>
      </w:r>
      <w:r w:rsidRPr="00001031">
        <w:rPr>
          <w:i/>
        </w:rPr>
        <w:fldChar w:fldCharType="begin"/>
      </w:r>
      <w:r w:rsidRPr="00001031">
        <w:rPr>
          <w:i/>
        </w:rPr>
        <w:instrText xml:space="preserve"> SEQ Figure \* ARABIC </w:instrText>
      </w:r>
      <w:r w:rsidRPr="00001031">
        <w:rPr>
          <w:i/>
        </w:rPr>
        <w:fldChar w:fldCharType="separate"/>
      </w:r>
      <w:r w:rsidRPr="00001031">
        <w:rPr>
          <w:i/>
        </w:rPr>
        <w:t>1</w:t>
      </w:r>
      <w:r w:rsidRPr="00001031">
        <w:rPr>
          <w:i/>
        </w:rPr>
        <w:fldChar w:fldCharType="end"/>
      </w:r>
      <w:bookmarkEnd w:id="0"/>
      <w:r w:rsidRPr="00001031">
        <w:rPr>
          <w:i/>
        </w:rPr>
        <w:t>.</w:t>
      </w:r>
      <w:proofErr w:type="gramEnd"/>
      <w:r w:rsidRPr="00001031">
        <w:rPr>
          <w:i/>
        </w:rPr>
        <w:tab/>
        <w:t>Historic models of 5-minute medians (</w:t>
      </w:r>
      <w:r w:rsidR="00F5427E" w:rsidRPr="00001031">
        <w:rPr>
          <w:i/>
        </w:rPr>
        <w:t>min.</w:t>
      </w:r>
      <w:r w:rsidRPr="00001031">
        <w:rPr>
          <w:i/>
        </w:rPr>
        <w:t xml:space="preserve"> 5 observations) determined for </w:t>
      </w:r>
      <w:r w:rsidR="00F5427E" w:rsidRPr="00001031">
        <w:rPr>
          <w:i/>
        </w:rPr>
        <w:t>each minute and weekday</w:t>
      </w:r>
      <w:r w:rsidRPr="00001031">
        <w:rPr>
          <w:i/>
        </w:rPr>
        <w:t xml:space="preserve"> </w:t>
      </w:r>
      <w:r w:rsidR="00F5427E" w:rsidRPr="00001031">
        <w:rPr>
          <w:i/>
        </w:rPr>
        <w:t>(</w:t>
      </w:r>
      <w:r w:rsidRPr="00001031">
        <w:rPr>
          <w:i/>
        </w:rPr>
        <w:t>free flow travel time if less than 5 medians for the corresponding minute and day</w:t>
      </w:r>
      <w:r w:rsidR="00F5427E" w:rsidRPr="00001031">
        <w:rPr>
          <w:i/>
        </w:rPr>
        <w:t>)</w:t>
      </w:r>
      <w:r w:rsidRPr="00001031">
        <w:rPr>
          <w:i/>
        </w:rPr>
        <w:t xml:space="preserve"> </w:t>
      </w:r>
    </w:p>
    <w:p w:rsidR="009F2428" w:rsidRPr="00001031" w:rsidRDefault="009F2428" w:rsidP="007D2175">
      <w:pPr>
        <w:pStyle w:val="Text"/>
      </w:pPr>
      <w:r w:rsidRPr="00001031">
        <w:t xml:space="preserve">In Denmark, Tuesday, Wednesday and Thursday were combined into one average. However, </w:t>
      </w:r>
      <w:r w:rsidR="00845393">
        <w:t xml:space="preserve">as </w:t>
      </w:r>
      <w:r w:rsidRPr="00001031">
        <w:t xml:space="preserve">all weekdays seemed to differ on Ring I </w:t>
      </w:r>
      <w:r w:rsidR="007E0227" w:rsidRPr="00001031">
        <w:t xml:space="preserve">in Finland </w:t>
      </w:r>
      <w:r w:rsidR="00845393">
        <w:t>they</w:t>
      </w:r>
      <w:r w:rsidRPr="00001031">
        <w:t xml:space="preserve"> </w:t>
      </w:r>
      <w:r w:rsidR="00845393">
        <w:t xml:space="preserve">were </w:t>
      </w:r>
      <w:r w:rsidRPr="00001031">
        <w:t xml:space="preserve">all </w:t>
      </w:r>
      <w:r w:rsidR="00845393">
        <w:t xml:space="preserve">kept </w:t>
      </w:r>
      <w:r w:rsidRPr="00001031">
        <w:t>separate.</w:t>
      </w:r>
    </w:p>
    <w:p w:rsidR="009F2428" w:rsidRPr="00001031" w:rsidRDefault="009F2428" w:rsidP="007D2175">
      <w:pPr>
        <w:pStyle w:val="Text"/>
      </w:pPr>
      <w:r w:rsidRPr="00001031">
        <w:t xml:space="preserve">The model was tested with </w:t>
      </w:r>
      <w:r w:rsidR="0004345B" w:rsidRPr="00001031">
        <w:t xml:space="preserve">data from </w:t>
      </w:r>
      <w:r w:rsidRPr="00001031">
        <w:t xml:space="preserve">2012. Only </w:t>
      </w:r>
      <w:r w:rsidR="00A625B7">
        <w:t>values</w:t>
      </w:r>
      <w:r w:rsidRPr="00001031">
        <w:t xml:space="preserve"> </w:t>
      </w:r>
      <w:r w:rsidR="00845393" w:rsidRPr="00001031">
        <w:t xml:space="preserve">based on at least </w:t>
      </w:r>
      <w:r w:rsidR="00845393">
        <w:t>five</w:t>
      </w:r>
      <w:r w:rsidR="00845393" w:rsidRPr="00001031">
        <w:t xml:space="preserve"> observations </w:t>
      </w:r>
      <w:r w:rsidRPr="00001031">
        <w:t xml:space="preserve">were included in the test dataset and were not measured </w:t>
      </w:r>
      <w:r w:rsidR="00845393">
        <w:t>at</w:t>
      </w:r>
      <w:r w:rsidR="00845393" w:rsidRPr="00001031">
        <w:t xml:space="preserve"> </w:t>
      </w:r>
      <w:r w:rsidRPr="00001031">
        <w:t>night (00</w:t>
      </w:r>
      <w:r w:rsidRPr="00001031">
        <w:softHyphen/>
        <w:t xml:space="preserve">–05). The forecast was calculated as a product of </w:t>
      </w:r>
      <w:r w:rsidR="00F5427E" w:rsidRPr="00001031">
        <w:t xml:space="preserve">the </w:t>
      </w:r>
      <w:r w:rsidRPr="00001031">
        <w:t xml:space="preserve">historic median travel time of the current weekday </w:t>
      </w:r>
      <w:r w:rsidR="0004345B" w:rsidRPr="00001031">
        <w:t xml:space="preserve">for the next </w:t>
      </w:r>
      <w:r w:rsidRPr="00001031">
        <w:t xml:space="preserve">15 minutes and the ratio between the current travel time and </w:t>
      </w:r>
      <w:r w:rsidR="00F5427E" w:rsidRPr="00001031">
        <w:t xml:space="preserve">the </w:t>
      </w:r>
      <w:r w:rsidRPr="00001031">
        <w:t xml:space="preserve">corresponding historic median: </w:t>
      </w:r>
    </w:p>
    <w:p w:rsidR="009F2428" w:rsidRPr="00001031" w:rsidRDefault="0042147D" w:rsidP="007D2175">
      <w:pPr>
        <w:pStyle w:val="Text"/>
        <w:rPr>
          <w:i/>
        </w:rPr>
      </w:pPr>
      <m:oMathPara>
        <m:oMathParaPr>
          <m:jc m:val="left"/>
        </m:oMathParaPr>
        <m:oMath>
          <m:sSub>
            <m:sSubPr>
              <m:ctrlPr>
                <w:rPr>
                  <w:rFonts w:ascii="Cambria Math" w:hAnsi="Cambria Math"/>
                  <w:i/>
                </w:rPr>
              </m:ctrlPr>
            </m:sSubPr>
            <m:e>
              <m:r>
                <w:rPr>
                  <w:rFonts w:ascii="Cambria Math" w:hAnsi="Cambria Math"/>
                </w:rPr>
                <m:t>TT</m:t>
              </m:r>
            </m:e>
            <m:sub>
              <m:r>
                <w:rPr>
                  <w:rFonts w:ascii="Cambria Math" w:hAnsi="Cambria Math"/>
                </w:rPr>
                <m:t>+15</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TT</m:t>
                  </m:r>
                </m:e>
                <m:sub>
                  <m:r>
                    <w:rPr>
                      <w:rFonts w:ascii="Cambria Math" w:hAnsi="Cambria Math"/>
                    </w:rPr>
                    <m:t>00</m:t>
                  </m:r>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TT</m:t>
                      </m:r>
                    </m:e>
                  </m:acc>
                </m:e>
                <m:sub>
                  <m:r>
                    <w:rPr>
                      <w:rFonts w:ascii="Cambria Math" w:hAnsi="Cambria Math"/>
                    </w:rPr>
                    <m:t>00</m:t>
                  </m:r>
                </m:sub>
              </m:sSub>
            </m:den>
          </m:f>
          <m:sSub>
            <m:sSubPr>
              <m:ctrlPr>
                <w:rPr>
                  <w:rFonts w:ascii="Cambria Math" w:hAnsi="Cambria Math"/>
                  <w:i/>
                </w:rPr>
              </m:ctrlPr>
            </m:sSubPr>
            <m:e>
              <m:acc>
                <m:accPr>
                  <m:chr m:val="̅"/>
                  <m:ctrlPr>
                    <w:rPr>
                      <w:rFonts w:ascii="Cambria Math" w:hAnsi="Cambria Math"/>
                      <w:i/>
                    </w:rPr>
                  </m:ctrlPr>
                </m:accPr>
                <m:e>
                  <m:r>
                    <w:rPr>
                      <w:rFonts w:ascii="Cambria Math" w:hAnsi="Cambria Math"/>
                    </w:rPr>
                    <m:t>TT</m:t>
                  </m:r>
                </m:e>
              </m:acc>
            </m:e>
            <m:sub>
              <m:r>
                <w:rPr>
                  <w:rFonts w:ascii="Cambria Math" w:hAnsi="Cambria Math"/>
                </w:rPr>
                <m:t>+15</m:t>
              </m:r>
            </m:sub>
          </m:sSub>
        </m:oMath>
      </m:oMathPara>
    </w:p>
    <w:p w:rsidR="009F2428" w:rsidRPr="00001031" w:rsidRDefault="009F2428" w:rsidP="007D2175">
      <w:pPr>
        <w:pStyle w:val="Text"/>
      </w:pPr>
      <w:r w:rsidRPr="00001031">
        <w:t>If the measured travel time or forecast was faster than the free flow speed (330/180 s), the value was replaced with the free flow speed for the error calculation.</w:t>
      </w:r>
      <w:r w:rsidR="005133B6" w:rsidRPr="00001031">
        <w:t xml:space="preserve"> As travel times corresponding to speed</w:t>
      </w:r>
      <w:r w:rsidR="00A625B7">
        <w:t>s</w:t>
      </w:r>
      <w:r w:rsidR="005133B6" w:rsidRPr="00001031">
        <w:t xml:space="preserve"> </w:t>
      </w:r>
      <w:r w:rsidR="00A625B7">
        <w:t xml:space="preserve">above </w:t>
      </w:r>
      <w:r w:rsidR="005133B6" w:rsidRPr="00001031">
        <w:t xml:space="preserve">the </w:t>
      </w:r>
      <w:r w:rsidR="00A625B7">
        <w:t>posted</w:t>
      </w:r>
      <w:r w:rsidR="00A625B7" w:rsidRPr="00001031">
        <w:t xml:space="preserve"> </w:t>
      </w:r>
      <w:r w:rsidR="005133B6" w:rsidRPr="00001031">
        <w:t xml:space="preserve">limit </w:t>
      </w:r>
      <w:r w:rsidR="0004345B" w:rsidRPr="00001031">
        <w:t>are not</w:t>
      </w:r>
      <w:r w:rsidR="005133B6" w:rsidRPr="00001031">
        <w:t xml:space="preserve"> shown </w:t>
      </w:r>
      <w:r w:rsidR="0004345B" w:rsidRPr="00001031">
        <w:t>to the</w:t>
      </w:r>
      <w:r w:rsidR="005133B6" w:rsidRPr="00001031">
        <w:t xml:space="preserve"> public, it is of</w:t>
      </w:r>
      <w:r w:rsidR="0004345B" w:rsidRPr="00001031">
        <w:t xml:space="preserve"> no</w:t>
      </w:r>
      <w:r w:rsidR="005133B6" w:rsidRPr="00001031">
        <w:t xml:space="preserve"> interest to see how much the estimate differed from the true value in those conditions.</w:t>
      </w:r>
    </w:p>
    <w:p w:rsidR="009F2428" w:rsidRPr="00001031" w:rsidRDefault="009F2428" w:rsidP="009F2428">
      <w:pPr>
        <w:pStyle w:val="Text"/>
      </w:pPr>
      <w:r w:rsidRPr="00001031">
        <w:t xml:space="preserve">The results were calculated for moments </w:t>
      </w:r>
      <w:r w:rsidR="00AF3558" w:rsidRPr="00001031">
        <w:t>at</w:t>
      </w:r>
      <w:r w:rsidRPr="00001031">
        <w:t xml:space="preserve"> which </w:t>
      </w:r>
      <w:r w:rsidR="00AF3558" w:rsidRPr="00001031">
        <w:t>measured</w:t>
      </w:r>
      <w:r w:rsidRPr="00001031">
        <w:t xml:space="preserve"> value</w:t>
      </w:r>
      <w:r w:rsidR="00AF3558" w:rsidRPr="00001031">
        <w:t>s</w:t>
      </w:r>
      <w:r w:rsidRPr="00001031">
        <w:t xml:space="preserve"> corresponding to the period of the predicted outcome existed. The average </w:t>
      </w:r>
      <w:r w:rsidRPr="00001031">
        <w:lastRenderedPageBreak/>
        <w:t>absolute value of the relative error was 3.2–4.1% for all traffic conditions and 13.3–15.2% for congested conditions, determined as traffic for which the travel time has risen to at least 10% above the free flow median</w:t>
      </w:r>
      <w:r w:rsidR="0085558C" w:rsidRPr="00001031">
        <w:t xml:space="preserve"> (</w:t>
      </w:r>
      <w:r w:rsidR="0085558C" w:rsidRPr="00001031">
        <w:fldChar w:fldCharType="begin"/>
      </w:r>
      <w:r w:rsidR="0085558C" w:rsidRPr="00001031">
        <w:instrText xml:space="preserve"> REF _Ref351553077 \h </w:instrText>
      </w:r>
      <w:r w:rsidR="0085558C" w:rsidRPr="00001031">
        <w:fldChar w:fldCharType="separate"/>
      </w:r>
      <w:r w:rsidR="0085558C" w:rsidRPr="00001031">
        <w:t xml:space="preserve">Table </w:t>
      </w:r>
      <w:r w:rsidR="0085558C" w:rsidRPr="00001031">
        <w:rPr>
          <w:noProof/>
        </w:rPr>
        <w:t>1</w:t>
      </w:r>
      <w:r w:rsidR="0085558C" w:rsidRPr="00001031">
        <w:fldChar w:fldCharType="end"/>
      </w:r>
      <w:r w:rsidR="0085558C" w:rsidRPr="00001031">
        <w:t>)</w:t>
      </w:r>
      <w:r w:rsidRPr="00001031">
        <w:t>. As the proportion of congestion was rather small, the overall performance of the model was satisfactory (82.0–87.2% of the time the error was &lt;5% and 96.5–96.9% of the time &lt;20%), but clearly poorer in congested conditions (30.4–30.5% and 76.6–81.8%, respectively).</w:t>
      </w:r>
    </w:p>
    <w:p w:rsidR="00822096" w:rsidRPr="00001031" w:rsidRDefault="00822096" w:rsidP="00510862">
      <w:pPr>
        <w:pStyle w:val="Text"/>
        <w:ind w:left="1418" w:hanging="1418"/>
        <w:rPr>
          <w:i/>
        </w:rPr>
      </w:pPr>
      <w:bookmarkStart w:id="1" w:name="_Ref351553077"/>
      <w:proofErr w:type="gramStart"/>
      <w:r w:rsidRPr="00001031">
        <w:rPr>
          <w:i/>
        </w:rPr>
        <w:t xml:space="preserve">Table </w:t>
      </w:r>
      <w:r w:rsidRPr="00001031">
        <w:rPr>
          <w:i/>
        </w:rPr>
        <w:fldChar w:fldCharType="begin"/>
      </w:r>
      <w:r w:rsidRPr="00001031">
        <w:rPr>
          <w:i/>
        </w:rPr>
        <w:instrText xml:space="preserve"> SEQ Table \* ARABIC </w:instrText>
      </w:r>
      <w:r w:rsidRPr="00001031">
        <w:rPr>
          <w:i/>
        </w:rPr>
        <w:fldChar w:fldCharType="separate"/>
      </w:r>
      <w:r w:rsidR="0085558C" w:rsidRPr="00001031">
        <w:rPr>
          <w:i/>
        </w:rPr>
        <w:t>1</w:t>
      </w:r>
      <w:r w:rsidRPr="00001031">
        <w:rPr>
          <w:i/>
        </w:rPr>
        <w:fldChar w:fldCharType="end"/>
      </w:r>
      <w:bookmarkEnd w:id="1"/>
      <w:r w:rsidRPr="00001031">
        <w:rPr>
          <w:i/>
        </w:rPr>
        <w:t>.</w:t>
      </w:r>
      <w:proofErr w:type="gramEnd"/>
      <w:r w:rsidRPr="00001031">
        <w:rPr>
          <w:i/>
        </w:rPr>
        <w:tab/>
      </w:r>
      <w:proofErr w:type="gramStart"/>
      <w:r w:rsidRPr="00001031">
        <w:rPr>
          <w:i/>
        </w:rPr>
        <w:t>Model test results based on 2012 data.</w:t>
      </w:r>
      <w:proofErr w:type="gramEnd"/>
      <w:r w:rsidRPr="00001031">
        <w:rPr>
          <w:i/>
        </w:rPr>
        <w:t xml:space="preserve"> Traffic was considered congested if measured travel time for the prediction moment was at least 10% above the free flow median.</w:t>
      </w:r>
    </w:p>
    <w:tbl>
      <w:tblPr>
        <w:tblStyle w:val="TableGrid"/>
        <w:tblW w:w="0" w:type="auto"/>
        <w:tblLook w:val="04A0" w:firstRow="1" w:lastRow="0" w:firstColumn="1" w:lastColumn="0" w:noHBand="0" w:noVBand="1"/>
      </w:tblPr>
      <w:tblGrid>
        <w:gridCol w:w="3085"/>
        <w:gridCol w:w="1276"/>
        <w:gridCol w:w="1536"/>
        <w:gridCol w:w="957"/>
        <w:gridCol w:w="1536"/>
      </w:tblGrid>
      <w:tr w:rsidR="00822096" w:rsidRPr="00001031" w:rsidTr="00001031">
        <w:tc>
          <w:tcPr>
            <w:tcW w:w="3085" w:type="dxa"/>
            <w:vMerge w:val="restart"/>
          </w:tcPr>
          <w:p w:rsidR="00822096" w:rsidRPr="00001031" w:rsidRDefault="00822096" w:rsidP="00001031">
            <w:pPr>
              <w:pStyle w:val="Julkaisuleipis"/>
              <w:keepNext/>
              <w:spacing w:before="60" w:after="60"/>
              <w:rPr>
                <w:sz w:val="24"/>
                <w:highlight w:val="yellow"/>
                <w:lang w:val="en-GB"/>
              </w:rPr>
            </w:pPr>
          </w:p>
        </w:tc>
        <w:tc>
          <w:tcPr>
            <w:tcW w:w="2552" w:type="dxa"/>
            <w:gridSpan w:val="2"/>
            <w:vAlign w:val="bottom"/>
          </w:tcPr>
          <w:p w:rsidR="00822096" w:rsidRPr="00001031" w:rsidRDefault="00822096" w:rsidP="00001031">
            <w:pPr>
              <w:keepNext/>
              <w:spacing w:before="60" w:after="60"/>
              <w:jc w:val="center"/>
              <w:textAlignment w:val="bottom"/>
              <w:rPr>
                <w:b/>
                <w:color w:val="000000"/>
                <w:sz w:val="24"/>
                <w:szCs w:val="22"/>
                <w:lang w:eastAsia="fi-FI"/>
              </w:rPr>
            </w:pPr>
            <w:r w:rsidRPr="00001031">
              <w:rPr>
                <w:b/>
                <w:color w:val="000000"/>
                <w:sz w:val="24"/>
                <w:szCs w:val="22"/>
                <w:lang w:eastAsia="fi-FI"/>
              </w:rPr>
              <w:t>Pukinmäki–</w:t>
            </w:r>
            <w:proofErr w:type="spellStart"/>
            <w:r w:rsidRPr="00001031">
              <w:rPr>
                <w:b/>
                <w:color w:val="000000"/>
                <w:sz w:val="24"/>
                <w:szCs w:val="22"/>
                <w:lang w:eastAsia="fi-FI"/>
              </w:rPr>
              <w:t>Konala</w:t>
            </w:r>
            <w:proofErr w:type="spellEnd"/>
          </w:p>
        </w:tc>
        <w:tc>
          <w:tcPr>
            <w:tcW w:w="2232" w:type="dxa"/>
            <w:gridSpan w:val="2"/>
            <w:vAlign w:val="bottom"/>
          </w:tcPr>
          <w:p w:rsidR="00822096" w:rsidRPr="00001031" w:rsidRDefault="00822096" w:rsidP="00001031">
            <w:pPr>
              <w:keepNext/>
              <w:spacing w:before="60" w:after="60"/>
              <w:jc w:val="center"/>
              <w:textAlignment w:val="bottom"/>
              <w:rPr>
                <w:b/>
                <w:color w:val="000000"/>
                <w:sz w:val="24"/>
                <w:szCs w:val="22"/>
                <w:lang w:eastAsia="fi-FI"/>
              </w:rPr>
            </w:pPr>
            <w:proofErr w:type="spellStart"/>
            <w:r w:rsidRPr="00001031">
              <w:rPr>
                <w:b/>
                <w:color w:val="000000"/>
                <w:sz w:val="24"/>
                <w:szCs w:val="22"/>
                <w:lang w:eastAsia="fi-FI"/>
              </w:rPr>
              <w:t>Konala</w:t>
            </w:r>
            <w:proofErr w:type="spellEnd"/>
            <w:r w:rsidRPr="00001031">
              <w:rPr>
                <w:b/>
                <w:color w:val="000000"/>
                <w:sz w:val="24"/>
                <w:szCs w:val="22"/>
                <w:lang w:eastAsia="fi-FI"/>
              </w:rPr>
              <w:t>–</w:t>
            </w:r>
            <w:proofErr w:type="spellStart"/>
            <w:r w:rsidRPr="00001031">
              <w:rPr>
                <w:b/>
                <w:color w:val="000000"/>
                <w:sz w:val="24"/>
                <w:szCs w:val="22"/>
                <w:lang w:eastAsia="fi-FI"/>
              </w:rPr>
              <w:t>Pakila</w:t>
            </w:r>
            <w:proofErr w:type="spellEnd"/>
          </w:p>
        </w:tc>
      </w:tr>
      <w:tr w:rsidR="00822096" w:rsidRPr="00001031" w:rsidTr="00001031">
        <w:tc>
          <w:tcPr>
            <w:tcW w:w="3085" w:type="dxa"/>
            <w:vMerge/>
            <w:vAlign w:val="bottom"/>
          </w:tcPr>
          <w:p w:rsidR="00822096" w:rsidRPr="00001031" w:rsidRDefault="00822096" w:rsidP="00001031">
            <w:pPr>
              <w:keepNext/>
              <w:spacing w:before="60" w:after="60"/>
              <w:jc w:val="left"/>
              <w:rPr>
                <w:color w:val="000000"/>
                <w:sz w:val="24"/>
                <w:szCs w:val="22"/>
                <w:highlight w:val="yellow"/>
                <w:lang w:eastAsia="fi-FI"/>
              </w:rPr>
            </w:pPr>
          </w:p>
        </w:tc>
        <w:tc>
          <w:tcPr>
            <w:tcW w:w="1276" w:type="dxa"/>
            <w:vAlign w:val="bottom"/>
          </w:tcPr>
          <w:p w:rsidR="00822096" w:rsidRPr="00001031" w:rsidRDefault="00822096" w:rsidP="00001031">
            <w:pPr>
              <w:keepNext/>
              <w:spacing w:before="60" w:after="60"/>
              <w:jc w:val="center"/>
              <w:textAlignment w:val="bottom"/>
              <w:rPr>
                <w:b/>
                <w:color w:val="000000"/>
                <w:sz w:val="24"/>
                <w:szCs w:val="22"/>
                <w:lang w:eastAsia="fi-FI"/>
              </w:rPr>
            </w:pPr>
            <w:r w:rsidRPr="00001031">
              <w:rPr>
                <w:b/>
                <w:color w:val="000000"/>
                <w:sz w:val="24"/>
                <w:szCs w:val="22"/>
                <w:lang w:eastAsia="fi-FI"/>
              </w:rPr>
              <w:t>All</w:t>
            </w:r>
          </w:p>
        </w:tc>
        <w:tc>
          <w:tcPr>
            <w:tcW w:w="1276" w:type="dxa"/>
            <w:vAlign w:val="bottom"/>
          </w:tcPr>
          <w:p w:rsidR="00822096" w:rsidRPr="00001031" w:rsidRDefault="00822096" w:rsidP="00001031">
            <w:pPr>
              <w:keepNext/>
              <w:spacing w:before="60" w:after="60"/>
              <w:jc w:val="center"/>
              <w:textAlignment w:val="bottom"/>
              <w:rPr>
                <w:b/>
                <w:color w:val="000000"/>
                <w:sz w:val="24"/>
                <w:szCs w:val="22"/>
                <w:lang w:eastAsia="fi-FI"/>
              </w:rPr>
            </w:pPr>
            <w:r w:rsidRPr="00001031">
              <w:rPr>
                <w:b/>
                <w:color w:val="000000"/>
                <w:sz w:val="24"/>
                <w:szCs w:val="22"/>
                <w:lang w:eastAsia="fi-FI"/>
              </w:rPr>
              <w:t>Congestion</w:t>
            </w:r>
          </w:p>
        </w:tc>
        <w:tc>
          <w:tcPr>
            <w:tcW w:w="957" w:type="dxa"/>
            <w:vAlign w:val="bottom"/>
          </w:tcPr>
          <w:p w:rsidR="00822096" w:rsidRPr="00001031" w:rsidRDefault="00822096" w:rsidP="00001031">
            <w:pPr>
              <w:keepNext/>
              <w:spacing w:before="60" w:after="60"/>
              <w:jc w:val="center"/>
              <w:textAlignment w:val="bottom"/>
              <w:rPr>
                <w:b/>
                <w:color w:val="000000"/>
                <w:sz w:val="24"/>
                <w:szCs w:val="22"/>
                <w:lang w:eastAsia="fi-FI"/>
              </w:rPr>
            </w:pPr>
            <w:r w:rsidRPr="00001031">
              <w:rPr>
                <w:b/>
                <w:color w:val="000000"/>
                <w:sz w:val="24"/>
                <w:szCs w:val="22"/>
                <w:lang w:eastAsia="fi-FI"/>
              </w:rPr>
              <w:t>All</w:t>
            </w:r>
          </w:p>
        </w:tc>
        <w:tc>
          <w:tcPr>
            <w:tcW w:w="1275" w:type="dxa"/>
            <w:vAlign w:val="bottom"/>
          </w:tcPr>
          <w:p w:rsidR="00822096" w:rsidRPr="00001031" w:rsidRDefault="00822096" w:rsidP="00001031">
            <w:pPr>
              <w:keepNext/>
              <w:spacing w:before="60" w:after="60"/>
              <w:jc w:val="center"/>
              <w:textAlignment w:val="bottom"/>
              <w:rPr>
                <w:b/>
                <w:color w:val="000000"/>
                <w:sz w:val="24"/>
                <w:szCs w:val="22"/>
                <w:lang w:eastAsia="fi-FI"/>
              </w:rPr>
            </w:pPr>
            <w:r w:rsidRPr="00001031">
              <w:rPr>
                <w:b/>
                <w:color w:val="000000"/>
                <w:sz w:val="24"/>
                <w:szCs w:val="22"/>
                <w:lang w:eastAsia="fi-FI"/>
              </w:rPr>
              <w:t>Congestion</w:t>
            </w:r>
          </w:p>
        </w:tc>
      </w:tr>
      <w:tr w:rsidR="00822096" w:rsidRPr="00001031" w:rsidTr="00001031">
        <w:tc>
          <w:tcPr>
            <w:tcW w:w="3085" w:type="dxa"/>
            <w:vAlign w:val="bottom"/>
          </w:tcPr>
          <w:p w:rsidR="00822096" w:rsidRPr="00001031" w:rsidRDefault="00822096" w:rsidP="00001031">
            <w:pPr>
              <w:keepNext/>
              <w:spacing w:before="60" w:after="60"/>
              <w:jc w:val="left"/>
              <w:textAlignment w:val="bottom"/>
              <w:rPr>
                <w:color w:val="000000"/>
                <w:sz w:val="24"/>
                <w:szCs w:val="22"/>
                <w:lang w:eastAsia="fi-FI"/>
              </w:rPr>
            </w:pPr>
            <w:r w:rsidRPr="00001031">
              <w:rPr>
                <w:color w:val="000000"/>
                <w:sz w:val="24"/>
                <w:szCs w:val="22"/>
                <w:lang w:eastAsia="fi-FI"/>
              </w:rPr>
              <w:t>Average absolute value of relative error</w:t>
            </w:r>
          </w:p>
        </w:tc>
        <w:tc>
          <w:tcPr>
            <w:tcW w:w="1276"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4.1%</w:t>
            </w:r>
          </w:p>
        </w:tc>
        <w:tc>
          <w:tcPr>
            <w:tcW w:w="1276"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13.3%</w:t>
            </w:r>
          </w:p>
        </w:tc>
        <w:tc>
          <w:tcPr>
            <w:tcW w:w="957"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3.2%</w:t>
            </w:r>
          </w:p>
        </w:tc>
        <w:tc>
          <w:tcPr>
            <w:tcW w:w="1275"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15.2%</w:t>
            </w:r>
          </w:p>
        </w:tc>
      </w:tr>
      <w:tr w:rsidR="00822096" w:rsidRPr="00001031" w:rsidTr="00001031">
        <w:tc>
          <w:tcPr>
            <w:tcW w:w="3085" w:type="dxa"/>
            <w:vAlign w:val="bottom"/>
          </w:tcPr>
          <w:p w:rsidR="00822096" w:rsidRPr="00001031" w:rsidRDefault="00822096" w:rsidP="00001031">
            <w:pPr>
              <w:keepNext/>
              <w:spacing w:before="60" w:after="60"/>
              <w:jc w:val="left"/>
              <w:textAlignment w:val="bottom"/>
              <w:rPr>
                <w:color w:val="000000"/>
                <w:sz w:val="24"/>
                <w:szCs w:val="22"/>
                <w:lang w:eastAsia="fi-FI"/>
              </w:rPr>
            </w:pPr>
            <w:r w:rsidRPr="00001031">
              <w:rPr>
                <w:color w:val="000000"/>
                <w:sz w:val="24"/>
                <w:szCs w:val="22"/>
                <w:lang w:eastAsia="fi-FI"/>
              </w:rPr>
              <w:t>Proportion of time when error &lt;5%</w:t>
            </w:r>
          </w:p>
        </w:tc>
        <w:tc>
          <w:tcPr>
            <w:tcW w:w="1276"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82.0%</w:t>
            </w:r>
          </w:p>
        </w:tc>
        <w:tc>
          <w:tcPr>
            <w:tcW w:w="1276"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30.4%</w:t>
            </w:r>
          </w:p>
        </w:tc>
        <w:tc>
          <w:tcPr>
            <w:tcW w:w="957"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87.2%</w:t>
            </w:r>
          </w:p>
        </w:tc>
        <w:tc>
          <w:tcPr>
            <w:tcW w:w="1275"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30.5%</w:t>
            </w:r>
          </w:p>
        </w:tc>
      </w:tr>
      <w:tr w:rsidR="00822096" w:rsidRPr="00001031" w:rsidTr="00001031">
        <w:tc>
          <w:tcPr>
            <w:tcW w:w="3085" w:type="dxa"/>
            <w:vAlign w:val="bottom"/>
          </w:tcPr>
          <w:p w:rsidR="00822096" w:rsidRPr="00001031" w:rsidRDefault="00822096" w:rsidP="00001031">
            <w:pPr>
              <w:keepNext/>
              <w:spacing w:before="60" w:after="60"/>
              <w:jc w:val="left"/>
              <w:textAlignment w:val="bottom"/>
              <w:rPr>
                <w:color w:val="000000"/>
                <w:sz w:val="24"/>
                <w:szCs w:val="22"/>
                <w:lang w:eastAsia="fi-FI"/>
              </w:rPr>
            </w:pPr>
            <w:r w:rsidRPr="00001031">
              <w:rPr>
                <w:color w:val="000000"/>
                <w:sz w:val="24"/>
                <w:szCs w:val="22"/>
                <w:lang w:eastAsia="fi-FI"/>
              </w:rPr>
              <w:t>Proportion of time when error &lt;10%</w:t>
            </w:r>
          </w:p>
        </w:tc>
        <w:tc>
          <w:tcPr>
            <w:tcW w:w="1276"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91.9%</w:t>
            </w:r>
          </w:p>
        </w:tc>
        <w:tc>
          <w:tcPr>
            <w:tcW w:w="1276"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55.9%</w:t>
            </w:r>
          </w:p>
        </w:tc>
        <w:tc>
          <w:tcPr>
            <w:tcW w:w="957"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93.6%</w:t>
            </w:r>
          </w:p>
        </w:tc>
        <w:tc>
          <w:tcPr>
            <w:tcW w:w="1275"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52.3%</w:t>
            </w:r>
          </w:p>
        </w:tc>
      </w:tr>
      <w:tr w:rsidR="00822096" w:rsidRPr="00001031" w:rsidTr="00001031">
        <w:tc>
          <w:tcPr>
            <w:tcW w:w="3085" w:type="dxa"/>
            <w:vAlign w:val="bottom"/>
          </w:tcPr>
          <w:p w:rsidR="00822096" w:rsidRPr="00001031" w:rsidRDefault="00822096" w:rsidP="00001031">
            <w:pPr>
              <w:spacing w:before="60" w:after="60"/>
              <w:jc w:val="left"/>
              <w:textAlignment w:val="bottom"/>
              <w:rPr>
                <w:color w:val="000000"/>
                <w:sz w:val="24"/>
                <w:szCs w:val="22"/>
                <w:lang w:eastAsia="fi-FI"/>
              </w:rPr>
            </w:pPr>
            <w:r w:rsidRPr="00001031">
              <w:rPr>
                <w:color w:val="000000"/>
                <w:sz w:val="24"/>
                <w:szCs w:val="22"/>
                <w:lang w:eastAsia="fi-FI"/>
              </w:rPr>
              <w:t>Proportion of time when error &lt;20%</w:t>
            </w:r>
          </w:p>
        </w:tc>
        <w:tc>
          <w:tcPr>
            <w:tcW w:w="1276" w:type="dxa"/>
            <w:vAlign w:val="bottom"/>
          </w:tcPr>
          <w:p w:rsidR="00822096" w:rsidRPr="00001031" w:rsidRDefault="00822096" w:rsidP="00001031">
            <w:pPr>
              <w:spacing w:before="60" w:after="60"/>
              <w:jc w:val="center"/>
              <w:textAlignment w:val="bottom"/>
              <w:rPr>
                <w:color w:val="000000"/>
                <w:sz w:val="24"/>
                <w:szCs w:val="22"/>
                <w:lang w:eastAsia="fi-FI"/>
              </w:rPr>
            </w:pPr>
            <w:r w:rsidRPr="00001031">
              <w:rPr>
                <w:color w:val="000000"/>
                <w:sz w:val="24"/>
                <w:szCs w:val="22"/>
                <w:lang w:eastAsia="fi-FI"/>
              </w:rPr>
              <w:t>96.5%</w:t>
            </w:r>
          </w:p>
        </w:tc>
        <w:tc>
          <w:tcPr>
            <w:tcW w:w="1276" w:type="dxa"/>
            <w:vAlign w:val="bottom"/>
          </w:tcPr>
          <w:p w:rsidR="00822096" w:rsidRPr="00001031" w:rsidRDefault="00822096" w:rsidP="00001031">
            <w:pPr>
              <w:spacing w:before="60" w:after="60"/>
              <w:jc w:val="center"/>
              <w:textAlignment w:val="bottom"/>
              <w:rPr>
                <w:color w:val="000000"/>
                <w:sz w:val="24"/>
                <w:szCs w:val="22"/>
                <w:lang w:eastAsia="fi-FI"/>
              </w:rPr>
            </w:pPr>
            <w:r w:rsidRPr="00001031">
              <w:rPr>
                <w:color w:val="000000"/>
                <w:sz w:val="24"/>
                <w:szCs w:val="22"/>
                <w:lang w:eastAsia="fi-FI"/>
              </w:rPr>
              <w:t>81.8%</w:t>
            </w:r>
          </w:p>
        </w:tc>
        <w:tc>
          <w:tcPr>
            <w:tcW w:w="957"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96.9%</w:t>
            </w:r>
          </w:p>
        </w:tc>
        <w:tc>
          <w:tcPr>
            <w:tcW w:w="1275" w:type="dxa"/>
            <w:vAlign w:val="bottom"/>
          </w:tcPr>
          <w:p w:rsidR="00822096" w:rsidRPr="00001031" w:rsidRDefault="00822096" w:rsidP="00001031">
            <w:pPr>
              <w:spacing w:before="60" w:after="60"/>
              <w:jc w:val="center"/>
              <w:textAlignment w:val="bottom"/>
              <w:rPr>
                <w:color w:val="000000"/>
                <w:sz w:val="24"/>
                <w:szCs w:val="22"/>
                <w:lang w:eastAsia="fi-FI"/>
              </w:rPr>
            </w:pPr>
            <w:r w:rsidRPr="00001031">
              <w:rPr>
                <w:color w:val="000000"/>
                <w:sz w:val="24"/>
                <w:szCs w:val="22"/>
                <w:lang w:eastAsia="fi-FI"/>
              </w:rPr>
              <w:t>76.6%</w:t>
            </w:r>
          </w:p>
        </w:tc>
      </w:tr>
    </w:tbl>
    <w:p w:rsidR="00822096" w:rsidRPr="00001031" w:rsidRDefault="00822096" w:rsidP="009F2428">
      <w:pPr>
        <w:pStyle w:val="Text"/>
      </w:pPr>
    </w:p>
    <w:p w:rsidR="0085558C" w:rsidRPr="00001031" w:rsidRDefault="0085558C" w:rsidP="0085558C">
      <w:pPr>
        <w:pStyle w:val="Text"/>
      </w:pPr>
      <w:bookmarkStart w:id="2" w:name="_Ref354042643"/>
      <w:r w:rsidRPr="00001031">
        <w:t xml:space="preserve">The correspondence of predicted and measured outcomes as flow status classes was also studied. The results show that most of the free flowing traffic (travel time at most 10% over free flow travel time) was predicted correctly (success rate 95.6–97.2%, </w:t>
      </w:r>
      <w:r w:rsidRPr="00001031">
        <w:fldChar w:fldCharType="begin"/>
      </w:r>
      <w:r w:rsidRPr="00001031">
        <w:instrText xml:space="preserve"> REF _Ref364931228 \h </w:instrText>
      </w:r>
      <w:r w:rsidRPr="00001031">
        <w:fldChar w:fldCharType="separate"/>
      </w:r>
      <w:r w:rsidRPr="00001031">
        <w:t xml:space="preserve">Table </w:t>
      </w:r>
      <w:r w:rsidRPr="00001031">
        <w:rPr>
          <w:noProof/>
        </w:rPr>
        <w:t>2</w:t>
      </w:r>
      <w:r w:rsidRPr="00001031">
        <w:fldChar w:fldCharType="end"/>
      </w:r>
      <w:r w:rsidRPr="00001031">
        <w:t xml:space="preserve">). In addition, most of the stopped traffic (travel time more than 90% over free flow travel time) was predicted correctly (78.7–82.0%). However, the flow status classes between them were predicted </w:t>
      </w:r>
      <w:r w:rsidR="00A625B7">
        <w:t>less well</w:t>
      </w:r>
      <w:r w:rsidRPr="00001031">
        <w:t xml:space="preserve">, with 37.6–62.9% success rate for flow with travel time 10–75% over free flow travel time. The </w:t>
      </w:r>
      <w:r w:rsidR="00A625B7">
        <w:t>poorest</w:t>
      </w:r>
      <w:r w:rsidR="00A625B7" w:rsidRPr="00001031">
        <w:t xml:space="preserve"> </w:t>
      </w:r>
      <w:r w:rsidRPr="00001031">
        <w:t>performance was for the flow status with travel time 75–90% over free flow travel time, with only 14.2–19.0% success rate. Large errors (at least two flow status classes) were most frequent for flow with travel time 25–75% or &gt;90% over free flow travel time (11.0–13.6%). Large errors were least frequent for the two most fluent flow classes (0.7–2.7%).</w:t>
      </w:r>
    </w:p>
    <w:p w:rsidR="00822096" w:rsidRPr="00001031" w:rsidRDefault="00822096" w:rsidP="0042147D">
      <w:pPr>
        <w:pStyle w:val="Text"/>
        <w:keepNext/>
        <w:ind w:left="1418" w:hanging="1418"/>
        <w:rPr>
          <w:i/>
        </w:rPr>
      </w:pPr>
      <w:bookmarkStart w:id="3" w:name="_Ref364931228"/>
      <w:proofErr w:type="gramStart"/>
      <w:r w:rsidRPr="00001031">
        <w:rPr>
          <w:i/>
        </w:rPr>
        <w:lastRenderedPageBreak/>
        <w:t xml:space="preserve">Table </w:t>
      </w:r>
      <w:r w:rsidRPr="00001031">
        <w:rPr>
          <w:i/>
        </w:rPr>
        <w:fldChar w:fldCharType="begin"/>
      </w:r>
      <w:r w:rsidRPr="00001031">
        <w:rPr>
          <w:i/>
        </w:rPr>
        <w:instrText xml:space="preserve"> SEQ Table \* ARABIC </w:instrText>
      </w:r>
      <w:r w:rsidRPr="00001031">
        <w:rPr>
          <w:i/>
        </w:rPr>
        <w:fldChar w:fldCharType="separate"/>
      </w:r>
      <w:r w:rsidR="0085558C" w:rsidRPr="00001031">
        <w:rPr>
          <w:i/>
        </w:rPr>
        <w:t>2</w:t>
      </w:r>
      <w:r w:rsidRPr="00001031">
        <w:rPr>
          <w:i/>
        </w:rPr>
        <w:fldChar w:fldCharType="end"/>
      </w:r>
      <w:bookmarkEnd w:id="2"/>
      <w:bookmarkEnd w:id="3"/>
      <w:r w:rsidRPr="00001031">
        <w:rPr>
          <w:i/>
        </w:rPr>
        <w:t>.</w:t>
      </w:r>
      <w:proofErr w:type="gramEnd"/>
      <w:r w:rsidRPr="00001031">
        <w:rPr>
          <w:i/>
        </w:rPr>
        <w:tab/>
        <w:t xml:space="preserve">Test results </w:t>
      </w:r>
      <w:bookmarkStart w:id="4" w:name="OLE_LINK7"/>
      <w:bookmarkStart w:id="5" w:name="OLE_LINK8"/>
      <w:r w:rsidRPr="00001031">
        <w:rPr>
          <w:i/>
        </w:rPr>
        <w:t>as correspondence of flow status classes</w:t>
      </w:r>
      <w:bookmarkEnd w:id="4"/>
      <w:bookmarkEnd w:id="5"/>
      <w:r w:rsidRPr="00001031">
        <w:rPr>
          <w:i/>
        </w:rPr>
        <w:t>, basic model</w:t>
      </w:r>
    </w:p>
    <w:tbl>
      <w:tblPr>
        <w:tblStyle w:val="TableGrid"/>
        <w:tblW w:w="8472" w:type="dxa"/>
        <w:tblLook w:val="04A0" w:firstRow="1" w:lastRow="0" w:firstColumn="1" w:lastColumn="0" w:noHBand="0" w:noVBand="1"/>
      </w:tblPr>
      <w:tblGrid>
        <w:gridCol w:w="1497"/>
        <w:gridCol w:w="1490"/>
        <w:gridCol w:w="926"/>
        <w:gridCol w:w="1157"/>
        <w:gridCol w:w="1275"/>
        <w:gridCol w:w="1134"/>
        <w:gridCol w:w="993"/>
      </w:tblGrid>
      <w:tr w:rsidR="00822096" w:rsidRPr="00001031" w:rsidTr="00510862">
        <w:tc>
          <w:tcPr>
            <w:tcW w:w="2987" w:type="dxa"/>
            <w:gridSpan w:val="2"/>
            <w:vMerge w:val="restart"/>
          </w:tcPr>
          <w:p w:rsidR="00822096" w:rsidRPr="00001031" w:rsidRDefault="00822096" w:rsidP="00001031">
            <w:pPr>
              <w:keepNext/>
              <w:spacing w:before="60" w:after="60"/>
              <w:jc w:val="left"/>
              <w:textAlignment w:val="bottom"/>
              <w:rPr>
                <w:b/>
                <w:sz w:val="24"/>
              </w:rPr>
            </w:pPr>
          </w:p>
        </w:tc>
        <w:tc>
          <w:tcPr>
            <w:tcW w:w="5485" w:type="dxa"/>
            <w:gridSpan w:val="5"/>
          </w:tcPr>
          <w:p w:rsidR="00822096" w:rsidRPr="00001031" w:rsidRDefault="00822096" w:rsidP="00001031">
            <w:pPr>
              <w:keepNext/>
              <w:spacing w:before="60" w:after="60"/>
              <w:jc w:val="center"/>
              <w:textAlignment w:val="bottom"/>
              <w:rPr>
                <w:b/>
                <w:color w:val="000000"/>
                <w:sz w:val="24"/>
                <w:szCs w:val="22"/>
                <w:lang w:eastAsia="fi-FI"/>
              </w:rPr>
            </w:pPr>
            <w:r w:rsidRPr="00001031">
              <w:rPr>
                <w:b/>
                <w:color w:val="000000"/>
                <w:sz w:val="24"/>
                <w:szCs w:val="22"/>
                <w:lang w:eastAsia="fi-FI"/>
              </w:rPr>
              <w:t>Measured output, % over free flow travel time</w:t>
            </w:r>
          </w:p>
        </w:tc>
      </w:tr>
      <w:tr w:rsidR="00822096" w:rsidRPr="00001031" w:rsidTr="00510862">
        <w:tc>
          <w:tcPr>
            <w:tcW w:w="2987" w:type="dxa"/>
            <w:gridSpan w:val="2"/>
            <w:vMerge/>
          </w:tcPr>
          <w:p w:rsidR="00822096" w:rsidRPr="00001031" w:rsidRDefault="00822096" w:rsidP="00001031">
            <w:pPr>
              <w:pStyle w:val="Julkaisuleipis"/>
              <w:keepNext/>
              <w:rPr>
                <w:sz w:val="24"/>
                <w:lang w:val="en-GB"/>
              </w:rPr>
            </w:pPr>
          </w:p>
        </w:tc>
        <w:tc>
          <w:tcPr>
            <w:tcW w:w="926" w:type="dxa"/>
            <w:tcBorders>
              <w:bottom w:val="single" w:sz="4" w:space="0" w:color="auto"/>
            </w:tcBorders>
          </w:tcPr>
          <w:p w:rsidR="00822096" w:rsidRPr="00001031" w:rsidRDefault="00822096" w:rsidP="00001031">
            <w:pPr>
              <w:keepNext/>
              <w:spacing w:before="60" w:after="60"/>
              <w:jc w:val="center"/>
              <w:textAlignment w:val="bottom"/>
              <w:rPr>
                <w:b/>
                <w:color w:val="000000"/>
                <w:sz w:val="24"/>
                <w:szCs w:val="22"/>
                <w:lang w:eastAsia="fi-FI"/>
              </w:rPr>
            </w:pPr>
            <w:r w:rsidRPr="00001031">
              <w:rPr>
                <w:b/>
                <w:color w:val="000000"/>
                <w:sz w:val="24"/>
                <w:szCs w:val="22"/>
                <w:lang w:eastAsia="fi-FI"/>
              </w:rPr>
              <w:t>0-10%</w:t>
            </w:r>
          </w:p>
        </w:tc>
        <w:tc>
          <w:tcPr>
            <w:tcW w:w="1157" w:type="dxa"/>
          </w:tcPr>
          <w:p w:rsidR="00822096" w:rsidRPr="00001031" w:rsidRDefault="00822096" w:rsidP="00001031">
            <w:pPr>
              <w:keepNext/>
              <w:spacing w:before="60" w:after="60"/>
              <w:jc w:val="center"/>
              <w:textAlignment w:val="bottom"/>
              <w:rPr>
                <w:b/>
                <w:color w:val="000000"/>
                <w:sz w:val="24"/>
                <w:szCs w:val="22"/>
                <w:lang w:eastAsia="fi-FI"/>
              </w:rPr>
            </w:pPr>
            <w:r w:rsidRPr="00001031">
              <w:rPr>
                <w:b/>
                <w:color w:val="000000"/>
                <w:sz w:val="24"/>
                <w:szCs w:val="22"/>
                <w:lang w:eastAsia="fi-FI"/>
              </w:rPr>
              <w:t>10-25%</w:t>
            </w:r>
          </w:p>
        </w:tc>
        <w:tc>
          <w:tcPr>
            <w:tcW w:w="1275" w:type="dxa"/>
          </w:tcPr>
          <w:p w:rsidR="00822096" w:rsidRPr="00001031" w:rsidRDefault="00822096" w:rsidP="00001031">
            <w:pPr>
              <w:keepNext/>
              <w:spacing w:before="60" w:after="60"/>
              <w:jc w:val="center"/>
              <w:textAlignment w:val="bottom"/>
              <w:rPr>
                <w:b/>
                <w:color w:val="000000"/>
                <w:sz w:val="24"/>
                <w:szCs w:val="22"/>
                <w:lang w:eastAsia="fi-FI"/>
              </w:rPr>
            </w:pPr>
            <w:r w:rsidRPr="00001031">
              <w:rPr>
                <w:b/>
                <w:color w:val="000000"/>
                <w:sz w:val="24"/>
                <w:szCs w:val="22"/>
                <w:lang w:eastAsia="fi-FI"/>
              </w:rPr>
              <w:t>25-75%</w:t>
            </w:r>
          </w:p>
        </w:tc>
        <w:tc>
          <w:tcPr>
            <w:tcW w:w="1134" w:type="dxa"/>
          </w:tcPr>
          <w:p w:rsidR="00822096" w:rsidRPr="00001031" w:rsidRDefault="00822096" w:rsidP="00001031">
            <w:pPr>
              <w:keepNext/>
              <w:spacing w:before="60" w:after="60"/>
              <w:jc w:val="center"/>
              <w:textAlignment w:val="bottom"/>
              <w:rPr>
                <w:b/>
                <w:color w:val="000000"/>
                <w:sz w:val="24"/>
                <w:szCs w:val="22"/>
                <w:lang w:eastAsia="fi-FI"/>
              </w:rPr>
            </w:pPr>
            <w:r w:rsidRPr="00001031">
              <w:rPr>
                <w:b/>
                <w:color w:val="000000"/>
                <w:sz w:val="24"/>
                <w:szCs w:val="22"/>
                <w:lang w:eastAsia="fi-FI"/>
              </w:rPr>
              <w:t>75-90%</w:t>
            </w:r>
          </w:p>
        </w:tc>
        <w:tc>
          <w:tcPr>
            <w:tcW w:w="993" w:type="dxa"/>
          </w:tcPr>
          <w:p w:rsidR="00822096" w:rsidRPr="00001031" w:rsidRDefault="00822096" w:rsidP="00001031">
            <w:pPr>
              <w:keepNext/>
              <w:spacing w:before="60" w:after="60"/>
              <w:jc w:val="center"/>
              <w:textAlignment w:val="bottom"/>
              <w:rPr>
                <w:b/>
                <w:color w:val="000000"/>
                <w:sz w:val="24"/>
                <w:szCs w:val="22"/>
                <w:lang w:eastAsia="fi-FI"/>
              </w:rPr>
            </w:pPr>
            <w:r w:rsidRPr="00001031">
              <w:rPr>
                <w:b/>
                <w:color w:val="000000"/>
                <w:sz w:val="24"/>
                <w:szCs w:val="22"/>
                <w:lang w:eastAsia="fi-FI"/>
              </w:rPr>
              <w:t>&gt;90%</w:t>
            </w:r>
          </w:p>
        </w:tc>
      </w:tr>
      <w:tr w:rsidR="00822096" w:rsidRPr="00001031" w:rsidTr="00510862">
        <w:tc>
          <w:tcPr>
            <w:tcW w:w="1497" w:type="dxa"/>
            <w:vMerge w:val="restart"/>
          </w:tcPr>
          <w:p w:rsidR="00822096" w:rsidRPr="00001031" w:rsidRDefault="00822096" w:rsidP="00510862">
            <w:pPr>
              <w:keepNext/>
              <w:spacing w:before="60" w:after="60"/>
              <w:jc w:val="left"/>
              <w:textAlignment w:val="bottom"/>
              <w:rPr>
                <w:b/>
                <w:color w:val="000000"/>
                <w:sz w:val="24"/>
                <w:szCs w:val="22"/>
                <w:lang w:eastAsia="fi-FI"/>
              </w:rPr>
            </w:pPr>
            <w:proofErr w:type="spellStart"/>
            <w:r w:rsidRPr="00001031">
              <w:rPr>
                <w:b/>
                <w:color w:val="000000"/>
                <w:sz w:val="24"/>
                <w:szCs w:val="22"/>
                <w:lang w:eastAsia="fi-FI"/>
              </w:rPr>
              <w:t>Konala-Pakila</w:t>
            </w:r>
            <w:proofErr w:type="spellEnd"/>
            <w:r w:rsidRPr="00001031">
              <w:rPr>
                <w:b/>
                <w:color w:val="000000"/>
                <w:sz w:val="24"/>
                <w:szCs w:val="22"/>
                <w:lang w:eastAsia="fi-FI"/>
              </w:rPr>
              <w:t xml:space="preserve"> link</w:t>
            </w:r>
          </w:p>
        </w:tc>
        <w:tc>
          <w:tcPr>
            <w:tcW w:w="1490" w:type="dxa"/>
          </w:tcPr>
          <w:p w:rsidR="00822096" w:rsidRPr="00001031" w:rsidRDefault="00822096" w:rsidP="00001031">
            <w:pPr>
              <w:keepNext/>
              <w:spacing w:before="60" w:after="60"/>
              <w:jc w:val="center"/>
              <w:textAlignment w:val="bottom"/>
              <w:rPr>
                <w:b/>
                <w:color w:val="000000"/>
                <w:sz w:val="24"/>
                <w:szCs w:val="22"/>
                <w:lang w:eastAsia="fi-FI"/>
              </w:rPr>
            </w:pPr>
            <w:r w:rsidRPr="00001031">
              <w:rPr>
                <w:b/>
                <w:color w:val="000000"/>
                <w:sz w:val="24"/>
                <w:szCs w:val="22"/>
                <w:lang w:eastAsia="fi-FI"/>
              </w:rPr>
              <w:t>Correct class</w:t>
            </w:r>
          </w:p>
        </w:tc>
        <w:tc>
          <w:tcPr>
            <w:tcW w:w="926"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97.2%</w:t>
            </w:r>
          </w:p>
        </w:tc>
        <w:tc>
          <w:tcPr>
            <w:tcW w:w="1157"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43.6%</w:t>
            </w:r>
          </w:p>
        </w:tc>
        <w:tc>
          <w:tcPr>
            <w:tcW w:w="1275"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47.2%</w:t>
            </w:r>
          </w:p>
        </w:tc>
        <w:tc>
          <w:tcPr>
            <w:tcW w:w="1134"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14.2%</w:t>
            </w:r>
          </w:p>
        </w:tc>
        <w:tc>
          <w:tcPr>
            <w:tcW w:w="993" w:type="dxa"/>
            <w:shd w:val="clear" w:color="auto" w:fill="FFFFFF" w:themeFill="background1"/>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78.7%</w:t>
            </w:r>
          </w:p>
        </w:tc>
      </w:tr>
      <w:tr w:rsidR="00822096" w:rsidRPr="00001031" w:rsidTr="00510862">
        <w:tc>
          <w:tcPr>
            <w:tcW w:w="1497" w:type="dxa"/>
            <w:vMerge/>
          </w:tcPr>
          <w:p w:rsidR="00822096" w:rsidRPr="00001031" w:rsidRDefault="00822096" w:rsidP="00001031">
            <w:pPr>
              <w:keepNext/>
              <w:spacing w:before="60" w:after="60"/>
              <w:jc w:val="center"/>
              <w:textAlignment w:val="bottom"/>
              <w:rPr>
                <w:b/>
                <w:color w:val="000000"/>
                <w:sz w:val="24"/>
                <w:szCs w:val="22"/>
                <w:lang w:eastAsia="fi-FI"/>
              </w:rPr>
            </w:pPr>
          </w:p>
        </w:tc>
        <w:tc>
          <w:tcPr>
            <w:tcW w:w="1490" w:type="dxa"/>
          </w:tcPr>
          <w:p w:rsidR="00822096" w:rsidRPr="00001031" w:rsidRDefault="00822096" w:rsidP="00001031">
            <w:pPr>
              <w:keepNext/>
              <w:spacing w:before="60" w:after="60"/>
              <w:jc w:val="center"/>
              <w:textAlignment w:val="bottom"/>
              <w:rPr>
                <w:b/>
                <w:color w:val="000000"/>
                <w:sz w:val="24"/>
                <w:szCs w:val="22"/>
                <w:lang w:eastAsia="fi-FI"/>
              </w:rPr>
            </w:pPr>
            <w:r w:rsidRPr="00001031">
              <w:rPr>
                <w:b/>
                <w:color w:val="000000"/>
                <w:sz w:val="24"/>
                <w:szCs w:val="22"/>
                <w:lang w:eastAsia="fi-FI"/>
              </w:rPr>
              <w:t>False by more than one class</w:t>
            </w:r>
          </w:p>
        </w:tc>
        <w:tc>
          <w:tcPr>
            <w:tcW w:w="926"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0.7%</w:t>
            </w:r>
          </w:p>
        </w:tc>
        <w:tc>
          <w:tcPr>
            <w:tcW w:w="1157"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2.7%</w:t>
            </w:r>
          </w:p>
        </w:tc>
        <w:tc>
          <w:tcPr>
            <w:tcW w:w="1275"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13.6%</w:t>
            </w:r>
          </w:p>
        </w:tc>
        <w:tc>
          <w:tcPr>
            <w:tcW w:w="1134"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8.5%</w:t>
            </w:r>
          </w:p>
        </w:tc>
        <w:tc>
          <w:tcPr>
            <w:tcW w:w="993" w:type="dxa"/>
            <w:shd w:val="clear" w:color="auto" w:fill="FFFFFF" w:themeFill="background1"/>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11.9%</w:t>
            </w:r>
          </w:p>
        </w:tc>
      </w:tr>
      <w:tr w:rsidR="00822096" w:rsidRPr="00001031" w:rsidTr="00510862">
        <w:tc>
          <w:tcPr>
            <w:tcW w:w="1497" w:type="dxa"/>
            <w:vMerge w:val="restart"/>
          </w:tcPr>
          <w:p w:rsidR="00822096" w:rsidRPr="00001031" w:rsidRDefault="00822096" w:rsidP="00001031">
            <w:pPr>
              <w:keepNext/>
              <w:spacing w:before="60" w:after="60"/>
              <w:jc w:val="center"/>
              <w:textAlignment w:val="bottom"/>
              <w:rPr>
                <w:b/>
                <w:color w:val="000000"/>
                <w:sz w:val="24"/>
                <w:szCs w:val="22"/>
                <w:lang w:eastAsia="fi-FI"/>
              </w:rPr>
            </w:pPr>
            <w:r w:rsidRPr="00001031">
              <w:rPr>
                <w:b/>
                <w:color w:val="000000"/>
                <w:sz w:val="24"/>
                <w:szCs w:val="22"/>
                <w:lang w:eastAsia="fi-FI"/>
              </w:rPr>
              <w:t>Pukinmäki-</w:t>
            </w:r>
            <w:proofErr w:type="spellStart"/>
            <w:r w:rsidRPr="00001031">
              <w:rPr>
                <w:b/>
                <w:color w:val="000000"/>
                <w:sz w:val="24"/>
                <w:szCs w:val="22"/>
                <w:lang w:eastAsia="fi-FI"/>
              </w:rPr>
              <w:t>Konala</w:t>
            </w:r>
            <w:proofErr w:type="spellEnd"/>
            <w:r w:rsidRPr="00001031">
              <w:rPr>
                <w:b/>
                <w:color w:val="000000"/>
                <w:sz w:val="24"/>
                <w:szCs w:val="22"/>
                <w:lang w:eastAsia="fi-FI"/>
              </w:rPr>
              <w:t xml:space="preserve"> link</w:t>
            </w:r>
          </w:p>
        </w:tc>
        <w:tc>
          <w:tcPr>
            <w:tcW w:w="1490" w:type="dxa"/>
          </w:tcPr>
          <w:p w:rsidR="00822096" w:rsidRPr="00001031" w:rsidRDefault="00822096" w:rsidP="00001031">
            <w:pPr>
              <w:keepNext/>
              <w:spacing w:before="60" w:after="60"/>
              <w:jc w:val="center"/>
              <w:textAlignment w:val="bottom"/>
              <w:rPr>
                <w:b/>
                <w:color w:val="000000"/>
                <w:sz w:val="24"/>
                <w:szCs w:val="22"/>
                <w:lang w:eastAsia="fi-FI"/>
              </w:rPr>
            </w:pPr>
            <w:r w:rsidRPr="00001031">
              <w:rPr>
                <w:b/>
                <w:color w:val="000000"/>
                <w:sz w:val="24"/>
                <w:szCs w:val="22"/>
                <w:lang w:eastAsia="fi-FI"/>
              </w:rPr>
              <w:t>Correct class</w:t>
            </w:r>
          </w:p>
        </w:tc>
        <w:tc>
          <w:tcPr>
            <w:tcW w:w="926"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95.6%</w:t>
            </w:r>
          </w:p>
        </w:tc>
        <w:tc>
          <w:tcPr>
            <w:tcW w:w="1157"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37.6%</w:t>
            </w:r>
          </w:p>
        </w:tc>
        <w:tc>
          <w:tcPr>
            <w:tcW w:w="1275"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62.9%</w:t>
            </w:r>
          </w:p>
        </w:tc>
        <w:tc>
          <w:tcPr>
            <w:tcW w:w="1134"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19.0%</w:t>
            </w:r>
          </w:p>
        </w:tc>
        <w:tc>
          <w:tcPr>
            <w:tcW w:w="993" w:type="dxa"/>
            <w:shd w:val="clear" w:color="auto" w:fill="FFFFFF" w:themeFill="background1"/>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82.0%</w:t>
            </w:r>
          </w:p>
        </w:tc>
      </w:tr>
      <w:tr w:rsidR="00822096" w:rsidRPr="00001031" w:rsidTr="00510862">
        <w:tc>
          <w:tcPr>
            <w:tcW w:w="1497" w:type="dxa"/>
            <w:vMerge/>
          </w:tcPr>
          <w:p w:rsidR="00822096" w:rsidRPr="00001031" w:rsidRDefault="00822096" w:rsidP="00001031">
            <w:pPr>
              <w:keepNext/>
              <w:spacing w:before="60" w:after="60"/>
              <w:jc w:val="center"/>
              <w:textAlignment w:val="bottom"/>
              <w:rPr>
                <w:b/>
                <w:color w:val="000000"/>
                <w:sz w:val="24"/>
                <w:szCs w:val="22"/>
                <w:lang w:eastAsia="fi-FI"/>
              </w:rPr>
            </w:pPr>
          </w:p>
        </w:tc>
        <w:tc>
          <w:tcPr>
            <w:tcW w:w="1490" w:type="dxa"/>
          </w:tcPr>
          <w:p w:rsidR="00822096" w:rsidRPr="00001031" w:rsidRDefault="00822096" w:rsidP="00001031">
            <w:pPr>
              <w:keepNext/>
              <w:spacing w:before="60" w:after="60"/>
              <w:jc w:val="center"/>
              <w:textAlignment w:val="bottom"/>
              <w:rPr>
                <w:b/>
                <w:color w:val="000000"/>
                <w:sz w:val="24"/>
                <w:szCs w:val="22"/>
                <w:lang w:eastAsia="fi-FI"/>
              </w:rPr>
            </w:pPr>
            <w:r w:rsidRPr="00001031">
              <w:rPr>
                <w:b/>
                <w:color w:val="000000"/>
                <w:sz w:val="24"/>
                <w:szCs w:val="22"/>
                <w:lang w:eastAsia="fi-FI"/>
              </w:rPr>
              <w:t>False by more than one class</w:t>
            </w:r>
          </w:p>
        </w:tc>
        <w:tc>
          <w:tcPr>
            <w:tcW w:w="926"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1.3%</w:t>
            </w:r>
          </w:p>
        </w:tc>
        <w:tc>
          <w:tcPr>
            <w:tcW w:w="1157"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2.7%</w:t>
            </w:r>
          </w:p>
        </w:tc>
        <w:tc>
          <w:tcPr>
            <w:tcW w:w="1275"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13.1%</w:t>
            </w:r>
          </w:p>
        </w:tc>
        <w:tc>
          <w:tcPr>
            <w:tcW w:w="1134" w:type="dxa"/>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4.1%</w:t>
            </w:r>
          </w:p>
        </w:tc>
        <w:tc>
          <w:tcPr>
            <w:tcW w:w="993" w:type="dxa"/>
            <w:shd w:val="clear" w:color="auto" w:fill="FFFFFF" w:themeFill="background1"/>
            <w:vAlign w:val="bottom"/>
          </w:tcPr>
          <w:p w:rsidR="00822096" w:rsidRPr="00001031" w:rsidRDefault="00822096" w:rsidP="00001031">
            <w:pPr>
              <w:keepNext/>
              <w:spacing w:before="60" w:after="60"/>
              <w:jc w:val="center"/>
              <w:textAlignment w:val="bottom"/>
              <w:rPr>
                <w:color w:val="000000"/>
                <w:sz w:val="24"/>
                <w:szCs w:val="22"/>
                <w:lang w:eastAsia="fi-FI"/>
              </w:rPr>
            </w:pPr>
            <w:r w:rsidRPr="00001031">
              <w:rPr>
                <w:color w:val="000000"/>
                <w:sz w:val="24"/>
                <w:szCs w:val="22"/>
                <w:lang w:eastAsia="fi-FI"/>
              </w:rPr>
              <w:t>11.0%</w:t>
            </w:r>
          </w:p>
        </w:tc>
      </w:tr>
    </w:tbl>
    <w:p w:rsidR="00822096" w:rsidRPr="00001031" w:rsidRDefault="00822096" w:rsidP="009F2428">
      <w:pPr>
        <w:pStyle w:val="Text"/>
      </w:pPr>
    </w:p>
    <w:p w:rsidR="009F2428" w:rsidRPr="00001031" w:rsidRDefault="00A625B7" w:rsidP="009F2428">
      <w:pPr>
        <w:pStyle w:val="Text"/>
      </w:pPr>
      <w:r>
        <w:t>C</w:t>
      </w:r>
      <w:r w:rsidR="009F2428" w:rsidRPr="00001031">
        <w:t>lasses whe</w:t>
      </w:r>
      <w:r w:rsidR="00AF3558" w:rsidRPr="00001031">
        <w:t>re</w:t>
      </w:r>
      <w:r w:rsidR="009F2428" w:rsidRPr="00001031">
        <w:t xml:space="preserve"> </w:t>
      </w:r>
      <w:r w:rsidR="00F5427E" w:rsidRPr="00001031">
        <w:t>the measured travel time was 10–</w:t>
      </w:r>
      <w:r w:rsidR="009F2428" w:rsidRPr="00001031">
        <w:t>25% and 75</w:t>
      </w:r>
      <w:r w:rsidR="00F5427E" w:rsidRPr="00001031">
        <w:t>–</w:t>
      </w:r>
      <w:r w:rsidR="009F2428" w:rsidRPr="00001031">
        <w:t xml:space="preserve">90% of the free flow travel time </w:t>
      </w:r>
      <w:r w:rsidRPr="00001031">
        <w:t xml:space="preserve">always </w:t>
      </w:r>
      <w:r w:rsidR="009F2428" w:rsidRPr="00001031">
        <w:t>seemed to perform the worst</w:t>
      </w:r>
      <w:r>
        <w:t xml:space="preserve"> — </w:t>
      </w:r>
      <w:r w:rsidR="009F2428" w:rsidRPr="00001031">
        <w:t xml:space="preserve">probably because </w:t>
      </w:r>
      <w:r>
        <w:t>they</w:t>
      </w:r>
      <w:r w:rsidR="009F2428" w:rsidRPr="00001031">
        <w:t xml:space="preserve"> exist </w:t>
      </w:r>
      <w:r>
        <w:t xml:space="preserve">mainly </w:t>
      </w:r>
      <w:r w:rsidR="009F2428" w:rsidRPr="00001031">
        <w:t>as "passing" classes between mo</w:t>
      </w:r>
      <w:r w:rsidR="0085558C" w:rsidRPr="00001031">
        <w:t xml:space="preserve">re stationary </w:t>
      </w:r>
      <w:r>
        <w:t>ones.</w:t>
      </w:r>
      <w:r w:rsidR="0085558C" w:rsidRPr="00001031">
        <w:t xml:space="preserve"> </w:t>
      </w:r>
      <w:r>
        <w:t>C</w:t>
      </w:r>
      <w:r w:rsidR="0085558C" w:rsidRPr="00001031">
        <w:t xml:space="preserve">ongestion seldom </w:t>
      </w:r>
      <w:r>
        <w:t>continues</w:t>
      </w:r>
      <w:r w:rsidRPr="00001031">
        <w:t xml:space="preserve"> </w:t>
      </w:r>
      <w:r w:rsidR="0085558C" w:rsidRPr="00001031">
        <w:t>(time-</w:t>
      </w:r>
      <w:r w:rsidR="009F2428" w:rsidRPr="00001031">
        <w:t xml:space="preserve">wise) in these classes but changes either for the better or worse, which is why they are hard to predict. This could also be </w:t>
      </w:r>
      <w:r w:rsidR="00E5488D">
        <w:t>typical</w:t>
      </w:r>
      <w:r w:rsidR="009F2428" w:rsidRPr="00001031">
        <w:t xml:space="preserve"> </w:t>
      </w:r>
      <w:r w:rsidR="00902454">
        <w:t>of</w:t>
      </w:r>
      <w:r w:rsidR="009F2428" w:rsidRPr="00001031">
        <w:t xml:space="preserve"> these</w:t>
      </w:r>
      <w:r w:rsidR="00AF3558" w:rsidRPr="00001031">
        <w:t xml:space="preserve"> road</w:t>
      </w:r>
      <w:r w:rsidR="009F2428" w:rsidRPr="00001031">
        <w:t xml:space="preserve"> sections.</w:t>
      </w:r>
    </w:p>
    <w:p w:rsidR="009F2428" w:rsidRPr="00001031" w:rsidRDefault="006C43C6" w:rsidP="009F2428">
      <w:pPr>
        <w:pStyle w:val="Text"/>
      </w:pPr>
      <w:r>
        <w:t xml:space="preserve">The success of using the last measured value as a forecast was used for comparison with the prediction model </w:t>
      </w:r>
      <w:r w:rsidR="00AF3558" w:rsidRPr="00001031">
        <w:t>(Tables 3</w:t>
      </w:r>
      <w:r w:rsidR="00510862" w:rsidRPr="00001031">
        <w:t xml:space="preserve"> and </w:t>
      </w:r>
      <w:r w:rsidR="00AF3558" w:rsidRPr="00001031">
        <w:t>4</w:t>
      </w:r>
      <w:r w:rsidR="00510862" w:rsidRPr="00001031">
        <w:t>)</w:t>
      </w:r>
      <w:r w:rsidR="009F2428" w:rsidRPr="00001031">
        <w:t xml:space="preserve">. On the </w:t>
      </w:r>
      <w:proofErr w:type="spellStart"/>
      <w:r w:rsidR="009F2428" w:rsidRPr="00001031">
        <w:t>Konala</w:t>
      </w:r>
      <w:proofErr w:type="spellEnd"/>
      <w:r w:rsidR="009F2428" w:rsidRPr="00001031">
        <w:t>–</w:t>
      </w:r>
      <w:proofErr w:type="spellStart"/>
      <w:r w:rsidR="009F2428" w:rsidRPr="00001031">
        <w:t>Pakila</w:t>
      </w:r>
      <w:proofErr w:type="spellEnd"/>
      <w:r w:rsidR="009F2428" w:rsidRPr="00001031">
        <w:t xml:space="preserve"> link</w:t>
      </w:r>
      <w:r>
        <w:t>,</w:t>
      </w:r>
      <w:r w:rsidR="009F2428" w:rsidRPr="00001031">
        <w:t xml:space="preserve"> the average relative value of relative error was equal </w:t>
      </w:r>
      <w:r>
        <w:t xml:space="preserve">to </w:t>
      </w:r>
      <w:r w:rsidR="009F2428" w:rsidRPr="00001031">
        <w:t>or almost equal to the prediction model. On the Pukinmäki–</w:t>
      </w:r>
      <w:proofErr w:type="spellStart"/>
      <w:r w:rsidR="009F2428" w:rsidRPr="00001031">
        <w:t>Konala</w:t>
      </w:r>
      <w:proofErr w:type="spellEnd"/>
      <w:r w:rsidR="009F2428" w:rsidRPr="00001031">
        <w:t xml:space="preserve"> link</w:t>
      </w:r>
      <w:r>
        <w:t>,</w:t>
      </w:r>
      <w:r w:rsidR="009F2428" w:rsidRPr="00001031">
        <w:t xml:space="preserve"> the prediction model performed better than </w:t>
      </w:r>
      <w:r>
        <w:t>use of</w:t>
      </w:r>
      <w:r w:rsidR="009F2428" w:rsidRPr="00001031">
        <w:t xml:space="preserve"> the last measurement (e.g. 13.3% vs. 17.7% average absolute value of relative error in congestion). </w:t>
      </w:r>
      <w:r>
        <w:t>L</w:t>
      </w:r>
      <w:r w:rsidR="009F2428" w:rsidRPr="00001031">
        <w:t xml:space="preserve">ooking at </w:t>
      </w:r>
      <w:r>
        <w:t xml:space="preserve">the </w:t>
      </w:r>
      <w:r w:rsidR="009F2428" w:rsidRPr="00001031">
        <w:t xml:space="preserve">correspondence of flow status classes, the proportion of correct classes was </w:t>
      </w:r>
      <w:r>
        <w:t>lower</w:t>
      </w:r>
      <w:r w:rsidRPr="00001031">
        <w:t xml:space="preserve"> </w:t>
      </w:r>
      <w:r w:rsidR="009F2428" w:rsidRPr="00001031">
        <w:t xml:space="preserve">with use of the last measurement for all classes, except </w:t>
      </w:r>
      <w:r>
        <w:t xml:space="preserve">for the </w:t>
      </w:r>
      <w:r w:rsidR="009F2428" w:rsidRPr="00001031">
        <w:t>free flowing class where the performance was very similar. In addition, the proportion of large errors was greater with use of the last measurement in these traffic conditions.</w:t>
      </w:r>
    </w:p>
    <w:p w:rsidR="0085558C" w:rsidRPr="00001031" w:rsidRDefault="0085558C" w:rsidP="0042147D">
      <w:pPr>
        <w:pStyle w:val="Text"/>
        <w:keepNext/>
        <w:ind w:left="1418" w:hanging="1418"/>
        <w:rPr>
          <w:i/>
        </w:rPr>
      </w:pPr>
      <w:bookmarkStart w:id="6" w:name="_Ref351550619"/>
      <w:proofErr w:type="gramStart"/>
      <w:r w:rsidRPr="00001031">
        <w:rPr>
          <w:i/>
        </w:rPr>
        <w:lastRenderedPageBreak/>
        <w:t xml:space="preserve">Table </w:t>
      </w:r>
      <w:r w:rsidRPr="00001031">
        <w:rPr>
          <w:i/>
        </w:rPr>
        <w:fldChar w:fldCharType="begin"/>
      </w:r>
      <w:r w:rsidRPr="00001031">
        <w:rPr>
          <w:i/>
        </w:rPr>
        <w:instrText xml:space="preserve"> SEQ Table \* ARABIC </w:instrText>
      </w:r>
      <w:r w:rsidRPr="00001031">
        <w:rPr>
          <w:i/>
        </w:rPr>
        <w:fldChar w:fldCharType="separate"/>
      </w:r>
      <w:r w:rsidR="00AF3558" w:rsidRPr="00001031">
        <w:rPr>
          <w:i/>
          <w:noProof/>
        </w:rPr>
        <w:t>3</w:t>
      </w:r>
      <w:r w:rsidRPr="00001031">
        <w:rPr>
          <w:i/>
        </w:rPr>
        <w:fldChar w:fldCharType="end"/>
      </w:r>
      <w:bookmarkEnd w:id="6"/>
      <w:r w:rsidRPr="00001031">
        <w:rPr>
          <w:i/>
        </w:rPr>
        <w:t>.</w:t>
      </w:r>
      <w:proofErr w:type="gramEnd"/>
      <w:r w:rsidRPr="00001031">
        <w:rPr>
          <w:i/>
        </w:rPr>
        <w:tab/>
        <w:t xml:space="preserve">Results when the last measurement </w:t>
      </w:r>
      <w:r w:rsidR="00AF3558" w:rsidRPr="00001031">
        <w:rPr>
          <w:i/>
        </w:rPr>
        <w:t>wa</w:t>
      </w:r>
      <w:r w:rsidRPr="00001031">
        <w:rPr>
          <w:i/>
        </w:rPr>
        <w:t>s used as a forecast. Traffic was considered congested if the measured travel time for the prediction moment was at least 10% above the free flow median.</w:t>
      </w:r>
    </w:p>
    <w:tbl>
      <w:tblPr>
        <w:tblStyle w:val="TableGrid"/>
        <w:tblW w:w="0" w:type="auto"/>
        <w:tblLook w:val="04A0" w:firstRow="1" w:lastRow="0" w:firstColumn="1" w:lastColumn="0" w:noHBand="0" w:noVBand="1"/>
      </w:tblPr>
      <w:tblGrid>
        <w:gridCol w:w="3086"/>
        <w:gridCol w:w="1275"/>
        <w:gridCol w:w="1536"/>
        <w:gridCol w:w="957"/>
        <w:gridCol w:w="1536"/>
      </w:tblGrid>
      <w:tr w:rsidR="0085558C" w:rsidRPr="00001031" w:rsidTr="00001031">
        <w:tc>
          <w:tcPr>
            <w:tcW w:w="3086" w:type="dxa"/>
            <w:vMerge w:val="restart"/>
          </w:tcPr>
          <w:p w:rsidR="0085558C" w:rsidRPr="00001031" w:rsidRDefault="0085558C" w:rsidP="00001031">
            <w:pPr>
              <w:pStyle w:val="Julkaisuleipis"/>
              <w:keepNext/>
              <w:rPr>
                <w:sz w:val="24"/>
                <w:lang w:val="en-GB"/>
              </w:rPr>
            </w:pPr>
          </w:p>
        </w:tc>
        <w:tc>
          <w:tcPr>
            <w:tcW w:w="2551" w:type="dxa"/>
            <w:gridSpan w:val="2"/>
            <w:vAlign w:val="bottom"/>
          </w:tcPr>
          <w:p w:rsidR="0085558C" w:rsidRPr="00001031" w:rsidRDefault="0085558C" w:rsidP="00001031">
            <w:pPr>
              <w:keepNext/>
              <w:spacing w:before="60" w:after="60"/>
              <w:jc w:val="center"/>
              <w:textAlignment w:val="bottom"/>
              <w:rPr>
                <w:b/>
                <w:color w:val="000000"/>
                <w:sz w:val="24"/>
                <w:szCs w:val="22"/>
                <w:lang w:eastAsia="fi-FI"/>
              </w:rPr>
            </w:pPr>
            <w:r w:rsidRPr="00001031">
              <w:rPr>
                <w:b/>
                <w:color w:val="000000"/>
                <w:sz w:val="24"/>
                <w:szCs w:val="22"/>
                <w:lang w:eastAsia="fi-FI"/>
              </w:rPr>
              <w:t>Pukinmäki-</w:t>
            </w:r>
            <w:proofErr w:type="spellStart"/>
            <w:r w:rsidRPr="00001031">
              <w:rPr>
                <w:b/>
                <w:color w:val="000000"/>
                <w:sz w:val="24"/>
                <w:szCs w:val="22"/>
                <w:lang w:eastAsia="fi-FI"/>
              </w:rPr>
              <w:t>Konala</w:t>
            </w:r>
            <w:proofErr w:type="spellEnd"/>
          </w:p>
        </w:tc>
        <w:tc>
          <w:tcPr>
            <w:tcW w:w="2232" w:type="dxa"/>
            <w:gridSpan w:val="2"/>
            <w:vAlign w:val="bottom"/>
          </w:tcPr>
          <w:p w:rsidR="0085558C" w:rsidRPr="00001031" w:rsidRDefault="0085558C" w:rsidP="00001031">
            <w:pPr>
              <w:keepNext/>
              <w:spacing w:before="60" w:after="60"/>
              <w:jc w:val="center"/>
              <w:textAlignment w:val="bottom"/>
              <w:rPr>
                <w:b/>
                <w:color w:val="000000"/>
                <w:sz w:val="24"/>
                <w:szCs w:val="22"/>
                <w:lang w:eastAsia="fi-FI"/>
              </w:rPr>
            </w:pPr>
            <w:proofErr w:type="spellStart"/>
            <w:r w:rsidRPr="00001031">
              <w:rPr>
                <w:b/>
                <w:color w:val="000000"/>
                <w:sz w:val="24"/>
                <w:szCs w:val="22"/>
                <w:lang w:eastAsia="fi-FI"/>
              </w:rPr>
              <w:t>Konala-Pakila</w:t>
            </w:r>
            <w:proofErr w:type="spellEnd"/>
          </w:p>
        </w:tc>
      </w:tr>
      <w:tr w:rsidR="0085558C" w:rsidRPr="00001031" w:rsidTr="00001031">
        <w:tc>
          <w:tcPr>
            <w:tcW w:w="3086" w:type="dxa"/>
            <w:vMerge/>
            <w:vAlign w:val="bottom"/>
          </w:tcPr>
          <w:p w:rsidR="0085558C" w:rsidRPr="00001031" w:rsidRDefault="0085558C" w:rsidP="00001031">
            <w:pPr>
              <w:keepNext/>
              <w:jc w:val="left"/>
              <w:rPr>
                <w:color w:val="000000"/>
                <w:sz w:val="24"/>
                <w:szCs w:val="22"/>
                <w:lang w:eastAsia="fi-FI"/>
              </w:rPr>
            </w:pPr>
          </w:p>
        </w:tc>
        <w:tc>
          <w:tcPr>
            <w:tcW w:w="1275" w:type="dxa"/>
            <w:vAlign w:val="bottom"/>
          </w:tcPr>
          <w:p w:rsidR="0085558C" w:rsidRPr="00001031" w:rsidRDefault="0085558C" w:rsidP="00001031">
            <w:pPr>
              <w:keepNext/>
              <w:spacing w:before="60" w:after="60"/>
              <w:jc w:val="center"/>
              <w:textAlignment w:val="bottom"/>
              <w:rPr>
                <w:b/>
                <w:color w:val="000000"/>
                <w:sz w:val="24"/>
                <w:szCs w:val="22"/>
                <w:lang w:eastAsia="fi-FI"/>
              </w:rPr>
            </w:pPr>
            <w:r w:rsidRPr="00001031">
              <w:rPr>
                <w:b/>
                <w:color w:val="000000"/>
                <w:sz w:val="24"/>
                <w:szCs w:val="22"/>
                <w:lang w:eastAsia="fi-FI"/>
              </w:rPr>
              <w:t>All</w:t>
            </w:r>
          </w:p>
        </w:tc>
        <w:tc>
          <w:tcPr>
            <w:tcW w:w="1276" w:type="dxa"/>
            <w:vAlign w:val="bottom"/>
          </w:tcPr>
          <w:p w:rsidR="0085558C" w:rsidRPr="00001031" w:rsidRDefault="0085558C" w:rsidP="00001031">
            <w:pPr>
              <w:keepNext/>
              <w:spacing w:before="60" w:after="60"/>
              <w:jc w:val="center"/>
              <w:textAlignment w:val="bottom"/>
              <w:rPr>
                <w:b/>
                <w:color w:val="000000"/>
                <w:sz w:val="24"/>
                <w:szCs w:val="22"/>
                <w:lang w:eastAsia="fi-FI"/>
              </w:rPr>
            </w:pPr>
            <w:r w:rsidRPr="00001031">
              <w:rPr>
                <w:b/>
                <w:color w:val="000000"/>
                <w:sz w:val="24"/>
                <w:szCs w:val="22"/>
                <w:lang w:eastAsia="fi-FI"/>
              </w:rPr>
              <w:t>Congestion</w:t>
            </w:r>
          </w:p>
        </w:tc>
        <w:tc>
          <w:tcPr>
            <w:tcW w:w="957" w:type="dxa"/>
            <w:vAlign w:val="bottom"/>
          </w:tcPr>
          <w:p w:rsidR="0085558C" w:rsidRPr="00001031" w:rsidRDefault="0085558C" w:rsidP="00001031">
            <w:pPr>
              <w:keepNext/>
              <w:spacing w:before="60" w:after="60"/>
              <w:jc w:val="center"/>
              <w:textAlignment w:val="bottom"/>
              <w:rPr>
                <w:b/>
                <w:color w:val="000000"/>
                <w:sz w:val="24"/>
                <w:szCs w:val="22"/>
                <w:lang w:eastAsia="fi-FI"/>
              </w:rPr>
            </w:pPr>
            <w:r w:rsidRPr="00001031">
              <w:rPr>
                <w:b/>
                <w:color w:val="000000"/>
                <w:sz w:val="24"/>
                <w:szCs w:val="22"/>
                <w:lang w:eastAsia="fi-FI"/>
              </w:rPr>
              <w:t>All</w:t>
            </w:r>
          </w:p>
        </w:tc>
        <w:tc>
          <w:tcPr>
            <w:tcW w:w="1275" w:type="dxa"/>
            <w:vAlign w:val="bottom"/>
          </w:tcPr>
          <w:p w:rsidR="0085558C" w:rsidRPr="00001031" w:rsidRDefault="0085558C" w:rsidP="00001031">
            <w:pPr>
              <w:keepNext/>
              <w:spacing w:before="60" w:after="60"/>
              <w:jc w:val="center"/>
              <w:textAlignment w:val="bottom"/>
              <w:rPr>
                <w:b/>
                <w:color w:val="000000"/>
                <w:sz w:val="24"/>
                <w:szCs w:val="22"/>
                <w:lang w:eastAsia="fi-FI"/>
              </w:rPr>
            </w:pPr>
            <w:r w:rsidRPr="00001031">
              <w:rPr>
                <w:b/>
                <w:color w:val="000000"/>
                <w:sz w:val="24"/>
                <w:szCs w:val="22"/>
                <w:lang w:eastAsia="fi-FI"/>
              </w:rPr>
              <w:t>Congestion</w:t>
            </w:r>
          </w:p>
        </w:tc>
      </w:tr>
      <w:tr w:rsidR="0085558C" w:rsidRPr="00001031" w:rsidTr="00001031">
        <w:tc>
          <w:tcPr>
            <w:tcW w:w="3086" w:type="dxa"/>
            <w:vAlign w:val="bottom"/>
          </w:tcPr>
          <w:p w:rsidR="0085558C" w:rsidRPr="00001031" w:rsidRDefault="0085558C" w:rsidP="00001031">
            <w:pPr>
              <w:keepNext/>
              <w:spacing w:before="60" w:after="60"/>
              <w:jc w:val="left"/>
              <w:textAlignment w:val="bottom"/>
              <w:rPr>
                <w:color w:val="000000"/>
                <w:sz w:val="24"/>
                <w:szCs w:val="22"/>
                <w:lang w:eastAsia="fi-FI"/>
              </w:rPr>
            </w:pPr>
            <w:r w:rsidRPr="00001031">
              <w:rPr>
                <w:color w:val="000000"/>
                <w:sz w:val="24"/>
                <w:szCs w:val="22"/>
                <w:lang w:eastAsia="fi-FI"/>
              </w:rPr>
              <w:t>Average absolute value of relative error</w:t>
            </w:r>
          </w:p>
        </w:tc>
        <w:tc>
          <w:tcPr>
            <w:tcW w:w="1275"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4.8%</w:t>
            </w:r>
          </w:p>
        </w:tc>
        <w:tc>
          <w:tcPr>
            <w:tcW w:w="1276"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17.7%</w:t>
            </w:r>
          </w:p>
        </w:tc>
        <w:tc>
          <w:tcPr>
            <w:tcW w:w="957"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3.2%</w:t>
            </w:r>
          </w:p>
        </w:tc>
        <w:tc>
          <w:tcPr>
            <w:tcW w:w="1275"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15.6%</w:t>
            </w:r>
          </w:p>
        </w:tc>
      </w:tr>
      <w:tr w:rsidR="0085558C" w:rsidRPr="00001031" w:rsidTr="00001031">
        <w:tc>
          <w:tcPr>
            <w:tcW w:w="3086" w:type="dxa"/>
            <w:vAlign w:val="bottom"/>
          </w:tcPr>
          <w:p w:rsidR="0085558C" w:rsidRPr="00001031" w:rsidRDefault="0085558C" w:rsidP="00001031">
            <w:pPr>
              <w:keepNext/>
              <w:spacing w:before="60" w:after="60"/>
              <w:jc w:val="left"/>
              <w:textAlignment w:val="bottom"/>
              <w:rPr>
                <w:color w:val="000000"/>
                <w:sz w:val="24"/>
                <w:szCs w:val="22"/>
                <w:lang w:eastAsia="fi-FI"/>
              </w:rPr>
            </w:pPr>
            <w:r w:rsidRPr="00001031">
              <w:rPr>
                <w:color w:val="000000"/>
                <w:sz w:val="24"/>
                <w:szCs w:val="22"/>
                <w:lang w:eastAsia="fi-FI"/>
              </w:rPr>
              <w:t>Proportion of time when error &lt;5%</w:t>
            </w:r>
          </w:p>
        </w:tc>
        <w:tc>
          <w:tcPr>
            <w:tcW w:w="1275"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81.1%</w:t>
            </w:r>
          </w:p>
        </w:tc>
        <w:tc>
          <w:tcPr>
            <w:tcW w:w="1276"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20.1%</w:t>
            </w:r>
          </w:p>
        </w:tc>
        <w:tc>
          <w:tcPr>
            <w:tcW w:w="957"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87.1%</w:t>
            </w:r>
          </w:p>
        </w:tc>
        <w:tc>
          <w:tcPr>
            <w:tcW w:w="1275"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28.7%</w:t>
            </w:r>
          </w:p>
        </w:tc>
      </w:tr>
      <w:tr w:rsidR="0085558C" w:rsidRPr="00001031" w:rsidTr="00001031">
        <w:tc>
          <w:tcPr>
            <w:tcW w:w="3086" w:type="dxa"/>
            <w:vAlign w:val="bottom"/>
          </w:tcPr>
          <w:p w:rsidR="0085558C" w:rsidRPr="00001031" w:rsidRDefault="0085558C" w:rsidP="00001031">
            <w:pPr>
              <w:keepNext/>
              <w:spacing w:before="60" w:after="60"/>
              <w:jc w:val="left"/>
              <w:textAlignment w:val="bottom"/>
              <w:rPr>
                <w:color w:val="000000"/>
                <w:sz w:val="24"/>
                <w:szCs w:val="22"/>
                <w:lang w:eastAsia="fi-FI"/>
              </w:rPr>
            </w:pPr>
            <w:r w:rsidRPr="00001031">
              <w:rPr>
                <w:color w:val="000000"/>
                <w:sz w:val="24"/>
                <w:szCs w:val="22"/>
                <w:lang w:eastAsia="fi-FI"/>
              </w:rPr>
              <w:t>Proportion of time when error &lt;10%</w:t>
            </w:r>
          </w:p>
        </w:tc>
        <w:tc>
          <w:tcPr>
            <w:tcW w:w="1275"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89.9%</w:t>
            </w:r>
          </w:p>
        </w:tc>
        <w:tc>
          <w:tcPr>
            <w:tcW w:w="1276"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41.1%</w:t>
            </w:r>
          </w:p>
        </w:tc>
        <w:tc>
          <w:tcPr>
            <w:tcW w:w="957"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93.5%</w:t>
            </w:r>
          </w:p>
        </w:tc>
        <w:tc>
          <w:tcPr>
            <w:tcW w:w="1275"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51.2%</w:t>
            </w:r>
          </w:p>
        </w:tc>
      </w:tr>
      <w:tr w:rsidR="0085558C" w:rsidRPr="00001031" w:rsidTr="00001031">
        <w:tc>
          <w:tcPr>
            <w:tcW w:w="3086" w:type="dxa"/>
            <w:vAlign w:val="bottom"/>
          </w:tcPr>
          <w:p w:rsidR="0085558C" w:rsidRPr="00001031" w:rsidRDefault="0085558C" w:rsidP="00001031">
            <w:pPr>
              <w:spacing w:before="60" w:after="60"/>
              <w:jc w:val="left"/>
              <w:textAlignment w:val="bottom"/>
              <w:rPr>
                <w:color w:val="000000"/>
                <w:sz w:val="24"/>
                <w:szCs w:val="22"/>
                <w:lang w:eastAsia="fi-FI"/>
              </w:rPr>
            </w:pPr>
            <w:r w:rsidRPr="00001031">
              <w:rPr>
                <w:color w:val="000000"/>
                <w:sz w:val="24"/>
                <w:szCs w:val="22"/>
                <w:lang w:eastAsia="fi-FI"/>
              </w:rPr>
              <w:t>Proportion of time when error &lt;20%</w:t>
            </w:r>
          </w:p>
        </w:tc>
        <w:tc>
          <w:tcPr>
            <w:tcW w:w="1275"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94.7%</w:t>
            </w:r>
          </w:p>
        </w:tc>
        <w:tc>
          <w:tcPr>
            <w:tcW w:w="1276"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71.0%</w:t>
            </w:r>
          </w:p>
        </w:tc>
        <w:tc>
          <w:tcPr>
            <w:tcW w:w="957"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96.8%</w:t>
            </w:r>
          </w:p>
        </w:tc>
        <w:tc>
          <w:tcPr>
            <w:tcW w:w="1275"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75.8%</w:t>
            </w:r>
          </w:p>
        </w:tc>
      </w:tr>
    </w:tbl>
    <w:p w:rsidR="0085558C" w:rsidRPr="00001031" w:rsidRDefault="0085558C" w:rsidP="0085558C"/>
    <w:p w:rsidR="0085558C" w:rsidRPr="00001031" w:rsidRDefault="0085558C" w:rsidP="00510862">
      <w:pPr>
        <w:pStyle w:val="Text"/>
        <w:ind w:left="1418" w:hanging="1418"/>
        <w:rPr>
          <w:i/>
        </w:rPr>
      </w:pPr>
      <w:bookmarkStart w:id="7" w:name="_Ref354045311"/>
      <w:proofErr w:type="gramStart"/>
      <w:r w:rsidRPr="00001031">
        <w:rPr>
          <w:i/>
        </w:rPr>
        <w:t xml:space="preserve">Table </w:t>
      </w:r>
      <w:r w:rsidRPr="00001031">
        <w:rPr>
          <w:i/>
        </w:rPr>
        <w:fldChar w:fldCharType="begin"/>
      </w:r>
      <w:r w:rsidRPr="00001031">
        <w:rPr>
          <w:i/>
        </w:rPr>
        <w:instrText xml:space="preserve"> SEQ Table \* ARABIC </w:instrText>
      </w:r>
      <w:r w:rsidRPr="00001031">
        <w:rPr>
          <w:i/>
        </w:rPr>
        <w:fldChar w:fldCharType="separate"/>
      </w:r>
      <w:r w:rsidR="00AF3558" w:rsidRPr="00001031">
        <w:rPr>
          <w:i/>
          <w:noProof/>
        </w:rPr>
        <w:t>4</w:t>
      </w:r>
      <w:r w:rsidRPr="00001031">
        <w:rPr>
          <w:i/>
        </w:rPr>
        <w:fldChar w:fldCharType="end"/>
      </w:r>
      <w:bookmarkEnd w:id="7"/>
      <w:r w:rsidRPr="00001031">
        <w:rPr>
          <w:i/>
        </w:rPr>
        <w:t>.</w:t>
      </w:r>
      <w:proofErr w:type="gramEnd"/>
      <w:r w:rsidRPr="00001031">
        <w:rPr>
          <w:i/>
        </w:rPr>
        <w:tab/>
        <w:t>Test results when using the last measurement as a forecast, by flow status class.</w:t>
      </w:r>
    </w:p>
    <w:tbl>
      <w:tblPr>
        <w:tblStyle w:val="TableGrid"/>
        <w:tblW w:w="8409" w:type="dxa"/>
        <w:tblLook w:val="04A0" w:firstRow="1" w:lastRow="0" w:firstColumn="1" w:lastColumn="0" w:noHBand="0" w:noVBand="1"/>
      </w:tblPr>
      <w:tblGrid>
        <w:gridCol w:w="1497"/>
        <w:gridCol w:w="1490"/>
        <w:gridCol w:w="926"/>
        <w:gridCol w:w="1157"/>
        <w:gridCol w:w="1134"/>
        <w:gridCol w:w="1134"/>
        <w:gridCol w:w="1071"/>
      </w:tblGrid>
      <w:tr w:rsidR="0085558C" w:rsidRPr="00001031" w:rsidTr="00510862">
        <w:tc>
          <w:tcPr>
            <w:tcW w:w="2987" w:type="dxa"/>
            <w:gridSpan w:val="2"/>
            <w:vMerge w:val="restart"/>
          </w:tcPr>
          <w:p w:rsidR="0085558C" w:rsidRPr="00001031" w:rsidRDefault="0085558C" w:rsidP="00001031">
            <w:pPr>
              <w:keepNext/>
              <w:spacing w:before="60" w:after="60"/>
              <w:jc w:val="left"/>
              <w:textAlignment w:val="bottom"/>
              <w:rPr>
                <w:b/>
                <w:sz w:val="24"/>
              </w:rPr>
            </w:pPr>
          </w:p>
        </w:tc>
        <w:tc>
          <w:tcPr>
            <w:tcW w:w="5422" w:type="dxa"/>
            <w:gridSpan w:val="5"/>
          </w:tcPr>
          <w:p w:rsidR="0085558C" w:rsidRPr="00001031" w:rsidRDefault="0085558C" w:rsidP="00001031">
            <w:pPr>
              <w:keepNext/>
              <w:spacing w:before="60" w:after="60"/>
              <w:jc w:val="center"/>
              <w:textAlignment w:val="bottom"/>
              <w:rPr>
                <w:b/>
                <w:color w:val="000000"/>
                <w:sz w:val="24"/>
                <w:szCs w:val="22"/>
                <w:lang w:eastAsia="fi-FI"/>
              </w:rPr>
            </w:pPr>
            <w:r w:rsidRPr="00001031">
              <w:rPr>
                <w:b/>
                <w:color w:val="000000"/>
                <w:sz w:val="24"/>
                <w:szCs w:val="22"/>
                <w:lang w:eastAsia="fi-FI"/>
              </w:rPr>
              <w:t>Measured output, % over free flow travel time</w:t>
            </w:r>
          </w:p>
        </w:tc>
      </w:tr>
      <w:tr w:rsidR="0085558C" w:rsidRPr="00001031" w:rsidTr="00510862">
        <w:tc>
          <w:tcPr>
            <w:tcW w:w="2987" w:type="dxa"/>
            <w:gridSpan w:val="2"/>
            <w:vMerge/>
          </w:tcPr>
          <w:p w:rsidR="0085558C" w:rsidRPr="00001031" w:rsidRDefault="0085558C" w:rsidP="00001031">
            <w:pPr>
              <w:pStyle w:val="Julkaisuleipis"/>
              <w:keepNext/>
              <w:rPr>
                <w:sz w:val="24"/>
                <w:lang w:val="en-GB"/>
              </w:rPr>
            </w:pPr>
          </w:p>
        </w:tc>
        <w:tc>
          <w:tcPr>
            <w:tcW w:w="926" w:type="dxa"/>
            <w:tcBorders>
              <w:bottom w:val="single" w:sz="4" w:space="0" w:color="auto"/>
            </w:tcBorders>
          </w:tcPr>
          <w:p w:rsidR="0085558C" w:rsidRPr="00001031" w:rsidRDefault="0085558C" w:rsidP="00001031">
            <w:pPr>
              <w:keepNext/>
              <w:spacing w:before="60" w:after="60"/>
              <w:jc w:val="center"/>
              <w:textAlignment w:val="bottom"/>
              <w:rPr>
                <w:b/>
                <w:color w:val="000000"/>
                <w:sz w:val="24"/>
                <w:szCs w:val="22"/>
                <w:lang w:eastAsia="fi-FI"/>
              </w:rPr>
            </w:pPr>
            <w:r w:rsidRPr="00001031">
              <w:rPr>
                <w:b/>
                <w:color w:val="000000"/>
                <w:sz w:val="24"/>
                <w:szCs w:val="22"/>
                <w:lang w:eastAsia="fi-FI"/>
              </w:rPr>
              <w:t>0-10%</w:t>
            </w:r>
          </w:p>
        </w:tc>
        <w:tc>
          <w:tcPr>
            <w:tcW w:w="1157" w:type="dxa"/>
          </w:tcPr>
          <w:p w:rsidR="0085558C" w:rsidRPr="00001031" w:rsidRDefault="0085558C" w:rsidP="00001031">
            <w:pPr>
              <w:keepNext/>
              <w:spacing w:before="60" w:after="60"/>
              <w:jc w:val="center"/>
              <w:textAlignment w:val="bottom"/>
              <w:rPr>
                <w:b/>
                <w:color w:val="000000"/>
                <w:sz w:val="24"/>
                <w:szCs w:val="22"/>
                <w:lang w:eastAsia="fi-FI"/>
              </w:rPr>
            </w:pPr>
            <w:r w:rsidRPr="00001031">
              <w:rPr>
                <w:b/>
                <w:color w:val="000000"/>
                <w:sz w:val="24"/>
                <w:szCs w:val="22"/>
                <w:lang w:eastAsia="fi-FI"/>
              </w:rPr>
              <w:t>10-25%</w:t>
            </w:r>
          </w:p>
        </w:tc>
        <w:tc>
          <w:tcPr>
            <w:tcW w:w="1134" w:type="dxa"/>
          </w:tcPr>
          <w:p w:rsidR="0085558C" w:rsidRPr="00001031" w:rsidRDefault="0085558C" w:rsidP="00001031">
            <w:pPr>
              <w:keepNext/>
              <w:spacing w:before="60" w:after="60"/>
              <w:jc w:val="center"/>
              <w:textAlignment w:val="bottom"/>
              <w:rPr>
                <w:b/>
                <w:color w:val="000000"/>
                <w:sz w:val="24"/>
                <w:szCs w:val="22"/>
                <w:lang w:eastAsia="fi-FI"/>
              </w:rPr>
            </w:pPr>
            <w:r w:rsidRPr="00001031">
              <w:rPr>
                <w:b/>
                <w:color w:val="000000"/>
                <w:sz w:val="24"/>
                <w:szCs w:val="22"/>
                <w:lang w:eastAsia="fi-FI"/>
              </w:rPr>
              <w:t>25-75%</w:t>
            </w:r>
          </w:p>
        </w:tc>
        <w:tc>
          <w:tcPr>
            <w:tcW w:w="1134" w:type="dxa"/>
          </w:tcPr>
          <w:p w:rsidR="0085558C" w:rsidRPr="00001031" w:rsidRDefault="0085558C" w:rsidP="00001031">
            <w:pPr>
              <w:keepNext/>
              <w:spacing w:before="60" w:after="60"/>
              <w:jc w:val="center"/>
              <w:textAlignment w:val="bottom"/>
              <w:rPr>
                <w:b/>
                <w:color w:val="000000"/>
                <w:sz w:val="24"/>
                <w:szCs w:val="22"/>
                <w:lang w:eastAsia="fi-FI"/>
              </w:rPr>
            </w:pPr>
            <w:r w:rsidRPr="00001031">
              <w:rPr>
                <w:b/>
                <w:color w:val="000000"/>
                <w:sz w:val="24"/>
                <w:szCs w:val="22"/>
                <w:lang w:eastAsia="fi-FI"/>
              </w:rPr>
              <w:t>75-90%</w:t>
            </w:r>
          </w:p>
        </w:tc>
        <w:tc>
          <w:tcPr>
            <w:tcW w:w="1071" w:type="dxa"/>
          </w:tcPr>
          <w:p w:rsidR="0085558C" w:rsidRPr="00001031" w:rsidRDefault="00510862" w:rsidP="00001031">
            <w:pPr>
              <w:keepNext/>
              <w:spacing w:before="60" w:after="60"/>
              <w:jc w:val="center"/>
              <w:textAlignment w:val="bottom"/>
              <w:rPr>
                <w:b/>
                <w:color w:val="000000"/>
                <w:sz w:val="24"/>
                <w:szCs w:val="22"/>
                <w:lang w:eastAsia="fi-FI"/>
              </w:rPr>
            </w:pPr>
            <w:r w:rsidRPr="00001031">
              <w:rPr>
                <w:b/>
                <w:color w:val="000000"/>
                <w:sz w:val="24"/>
                <w:szCs w:val="22"/>
                <w:lang w:eastAsia="fi-FI"/>
              </w:rPr>
              <w:t>&gt;</w:t>
            </w:r>
            <w:r w:rsidR="0085558C" w:rsidRPr="00001031">
              <w:rPr>
                <w:b/>
                <w:color w:val="000000"/>
                <w:sz w:val="24"/>
                <w:szCs w:val="22"/>
                <w:lang w:eastAsia="fi-FI"/>
              </w:rPr>
              <w:t>90%</w:t>
            </w:r>
          </w:p>
        </w:tc>
      </w:tr>
      <w:tr w:rsidR="00510862" w:rsidRPr="00001031" w:rsidTr="00510862">
        <w:tc>
          <w:tcPr>
            <w:tcW w:w="1497" w:type="dxa"/>
            <w:vMerge w:val="restart"/>
          </w:tcPr>
          <w:p w:rsidR="0085558C" w:rsidRPr="00001031" w:rsidRDefault="0085558C" w:rsidP="00001031">
            <w:pPr>
              <w:keepNext/>
              <w:spacing w:before="60" w:after="60"/>
              <w:jc w:val="center"/>
              <w:textAlignment w:val="bottom"/>
              <w:rPr>
                <w:b/>
                <w:color w:val="000000"/>
                <w:sz w:val="24"/>
                <w:szCs w:val="22"/>
                <w:lang w:eastAsia="fi-FI"/>
              </w:rPr>
            </w:pPr>
            <w:proofErr w:type="spellStart"/>
            <w:r w:rsidRPr="00001031">
              <w:rPr>
                <w:b/>
                <w:color w:val="000000"/>
                <w:sz w:val="24"/>
                <w:szCs w:val="22"/>
                <w:lang w:eastAsia="fi-FI"/>
              </w:rPr>
              <w:t>Konala-Pakila</w:t>
            </w:r>
            <w:proofErr w:type="spellEnd"/>
            <w:r w:rsidRPr="00001031">
              <w:rPr>
                <w:b/>
                <w:color w:val="000000"/>
                <w:sz w:val="24"/>
                <w:szCs w:val="22"/>
                <w:lang w:eastAsia="fi-FI"/>
              </w:rPr>
              <w:t xml:space="preserve"> link</w:t>
            </w:r>
          </w:p>
        </w:tc>
        <w:tc>
          <w:tcPr>
            <w:tcW w:w="1490" w:type="dxa"/>
          </w:tcPr>
          <w:p w:rsidR="0085558C" w:rsidRPr="00001031" w:rsidRDefault="0085558C" w:rsidP="00001031">
            <w:pPr>
              <w:keepNext/>
              <w:spacing w:before="60" w:after="60"/>
              <w:jc w:val="center"/>
              <w:textAlignment w:val="bottom"/>
              <w:rPr>
                <w:b/>
                <w:color w:val="000000"/>
                <w:sz w:val="24"/>
                <w:szCs w:val="22"/>
                <w:lang w:eastAsia="fi-FI"/>
              </w:rPr>
            </w:pPr>
            <w:r w:rsidRPr="00001031">
              <w:rPr>
                <w:b/>
                <w:color w:val="000000"/>
                <w:sz w:val="24"/>
                <w:szCs w:val="22"/>
                <w:lang w:eastAsia="fi-FI"/>
              </w:rPr>
              <w:t>Correct class</w:t>
            </w:r>
          </w:p>
        </w:tc>
        <w:tc>
          <w:tcPr>
            <w:tcW w:w="926"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96.9%</w:t>
            </w:r>
          </w:p>
        </w:tc>
        <w:tc>
          <w:tcPr>
            <w:tcW w:w="1157"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40.1%</w:t>
            </w:r>
          </w:p>
        </w:tc>
        <w:tc>
          <w:tcPr>
            <w:tcW w:w="1134"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43.0%</w:t>
            </w:r>
          </w:p>
        </w:tc>
        <w:tc>
          <w:tcPr>
            <w:tcW w:w="1134"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9.0%</w:t>
            </w:r>
          </w:p>
        </w:tc>
        <w:tc>
          <w:tcPr>
            <w:tcW w:w="1071" w:type="dxa"/>
            <w:shd w:val="clear" w:color="auto" w:fill="FFFFFF" w:themeFill="background1"/>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77.2%</w:t>
            </w:r>
          </w:p>
        </w:tc>
      </w:tr>
      <w:tr w:rsidR="00510862" w:rsidRPr="00001031" w:rsidTr="00510862">
        <w:tc>
          <w:tcPr>
            <w:tcW w:w="1497" w:type="dxa"/>
            <w:vMerge/>
          </w:tcPr>
          <w:p w:rsidR="0085558C" w:rsidRPr="00001031" w:rsidRDefault="0085558C" w:rsidP="00001031">
            <w:pPr>
              <w:keepNext/>
              <w:spacing w:before="60" w:after="60"/>
              <w:jc w:val="center"/>
              <w:textAlignment w:val="bottom"/>
              <w:rPr>
                <w:b/>
                <w:color w:val="000000"/>
                <w:sz w:val="24"/>
                <w:szCs w:val="22"/>
                <w:lang w:eastAsia="fi-FI"/>
              </w:rPr>
            </w:pPr>
          </w:p>
        </w:tc>
        <w:tc>
          <w:tcPr>
            <w:tcW w:w="1490" w:type="dxa"/>
          </w:tcPr>
          <w:p w:rsidR="0085558C" w:rsidRPr="00001031" w:rsidRDefault="0085558C" w:rsidP="00001031">
            <w:pPr>
              <w:keepNext/>
              <w:spacing w:before="60" w:after="60"/>
              <w:jc w:val="center"/>
              <w:textAlignment w:val="bottom"/>
              <w:rPr>
                <w:b/>
                <w:color w:val="000000"/>
                <w:sz w:val="24"/>
                <w:szCs w:val="22"/>
                <w:lang w:eastAsia="fi-FI"/>
              </w:rPr>
            </w:pPr>
            <w:r w:rsidRPr="00001031">
              <w:rPr>
                <w:b/>
                <w:color w:val="000000"/>
                <w:sz w:val="24"/>
                <w:szCs w:val="22"/>
                <w:lang w:eastAsia="fi-FI"/>
              </w:rPr>
              <w:t>False by more than one class</w:t>
            </w:r>
          </w:p>
        </w:tc>
        <w:tc>
          <w:tcPr>
            <w:tcW w:w="926"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0.7%</w:t>
            </w:r>
          </w:p>
        </w:tc>
        <w:tc>
          <w:tcPr>
            <w:tcW w:w="1157"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2.6%</w:t>
            </w:r>
          </w:p>
        </w:tc>
        <w:tc>
          <w:tcPr>
            <w:tcW w:w="1134"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22.6%</w:t>
            </w:r>
          </w:p>
        </w:tc>
        <w:tc>
          <w:tcPr>
            <w:tcW w:w="1134"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11.8%</w:t>
            </w:r>
          </w:p>
        </w:tc>
        <w:tc>
          <w:tcPr>
            <w:tcW w:w="1071" w:type="dxa"/>
            <w:shd w:val="clear" w:color="auto" w:fill="FFFFFF" w:themeFill="background1"/>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13.8%</w:t>
            </w:r>
          </w:p>
        </w:tc>
      </w:tr>
      <w:tr w:rsidR="00510862" w:rsidRPr="00001031" w:rsidTr="00510862">
        <w:tc>
          <w:tcPr>
            <w:tcW w:w="1497" w:type="dxa"/>
            <w:vMerge w:val="restart"/>
          </w:tcPr>
          <w:p w:rsidR="0085558C" w:rsidRPr="00001031" w:rsidRDefault="0085558C" w:rsidP="00001031">
            <w:pPr>
              <w:keepNext/>
              <w:spacing w:before="60" w:after="60"/>
              <w:jc w:val="center"/>
              <w:textAlignment w:val="bottom"/>
              <w:rPr>
                <w:b/>
                <w:color w:val="000000"/>
                <w:sz w:val="24"/>
                <w:szCs w:val="22"/>
                <w:lang w:eastAsia="fi-FI"/>
              </w:rPr>
            </w:pPr>
            <w:r w:rsidRPr="00001031">
              <w:rPr>
                <w:b/>
                <w:color w:val="000000"/>
                <w:sz w:val="24"/>
                <w:szCs w:val="22"/>
                <w:lang w:eastAsia="fi-FI"/>
              </w:rPr>
              <w:t>Pukinmäki-</w:t>
            </w:r>
            <w:proofErr w:type="spellStart"/>
            <w:r w:rsidRPr="00001031">
              <w:rPr>
                <w:b/>
                <w:color w:val="000000"/>
                <w:sz w:val="24"/>
                <w:szCs w:val="22"/>
                <w:lang w:eastAsia="fi-FI"/>
              </w:rPr>
              <w:t>Konala</w:t>
            </w:r>
            <w:proofErr w:type="spellEnd"/>
            <w:r w:rsidRPr="00001031">
              <w:rPr>
                <w:b/>
                <w:color w:val="000000"/>
                <w:sz w:val="24"/>
                <w:szCs w:val="22"/>
                <w:lang w:eastAsia="fi-FI"/>
              </w:rPr>
              <w:t xml:space="preserve"> link</w:t>
            </w:r>
          </w:p>
        </w:tc>
        <w:tc>
          <w:tcPr>
            <w:tcW w:w="1490" w:type="dxa"/>
          </w:tcPr>
          <w:p w:rsidR="0085558C" w:rsidRPr="00001031" w:rsidRDefault="0085558C" w:rsidP="00001031">
            <w:pPr>
              <w:keepNext/>
              <w:spacing w:before="60" w:after="60"/>
              <w:jc w:val="center"/>
              <w:textAlignment w:val="bottom"/>
              <w:rPr>
                <w:b/>
                <w:color w:val="000000"/>
                <w:sz w:val="24"/>
                <w:szCs w:val="22"/>
                <w:lang w:eastAsia="fi-FI"/>
              </w:rPr>
            </w:pPr>
            <w:r w:rsidRPr="00001031">
              <w:rPr>
                <w:b/>
                <w:color w:val="000000"/>
                <w:sz w:val="24"/>
                <w:szCs w:val="22"/>
                <w:lang w:eastAsia="fi-FI"/>
              </w:rPr>
              <w:t>Correct class</w:t>
            </w:r>
          </w:p>
        </w:tc>
        <w:tc>
          <w:tcPr>
            <w:tcW w:w="926"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96.0%</w:t>
            </w:r>
          </w:p>
        </w:tc>
        <w:tc>
          <w:tcPr>
            <w:tcW w:w="1157"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25.6%</w:t>
            </w:r>
          </w:p>
        </w:tc>
        <w:tc>
          <w:tcPr>
            <w:tcW w:w="1134"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41.2%</w:t>
            </w:r>
          </w:p>
        </w:tc>
        <w:tc>
          <w:tcPr>
            <w:tcW w:w="1134"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14.6%</w:t>
            </w:r>
          </w:p>
        </w:tc>
        <w:tc>
          <w:tcPr>
            <w:tcW w:w="1071" w:type="dxa"/>
            <w:shd w:val="clear" w:color="auto" w:fill="FFFFFF" w:themeFill="background1"/>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76.3%</w:t>
            </w:r>
          </w:p>
        </w:tc>
      </w:tr>
      <w:tr w:rsidR="00510862" w:rsidRPr="00001031" w:rsidTr="00510862">
        <w:tc>
          <w:tcPr>
            <w:tcW w:w="1497" w:type="dxa"/>
            <w:vMerge/>
          </w:tcPr>
          <w:p w:rsidR="0085558C" w:rsidRPr="00001031" w:rsidRDefault="0085558C" w:rsidP="00001031">
            <w:pPr>
              <w:keepNext/>
              <w:spacing w:before="60" w:after="60"/>
              <w:jc w:val="center"/>
              <w:textAlignment w:val="bottom"/>
              <w:rPr>
                <w:b/>
                <w:color w:val="000000"/>
                <w:sz w:val="24"/>
                <w:szCs w:val="22"/>
                <w:lang w:eastAsia="fi-FI"/>
              </w:rPr>
            </w:pPr>
          </w:p>
        </w:tc>
        <w:tc>
          <w:tcPr>
            <w:tcW w:w="1490" w:type="dxa"/>
          </w:tcPr>
          <w:p w:rsidR="0085558C" w:rsidRPr="00001031" w:rsidRDefault="0085558C" w:rsidP="00001031">
            <w:pPr>
              <w:keepNext/>
              <w:spacing w:before="60" w:after="60"/>
              <w:jc w:val="center"/>
              <w:textAlignment w:val="bottom"/>
              <w:rPr>
                <w:b/>
                <w:color w:val="000000"/>
                <w:sz w:val="24"/>
                <w:szCs w:val="22"/>
                <w:lang w:eastAsia="fi-FI"/>
              </w:rPr>
            </w:pPr>
            <w:r w:rsidRPr="00001031">
              <w:rPr>
                <w:b/>
                <w:color w:val="000000"/>
                <w:sz w:val="24"/>
                <w:szCs w:val="22"/>
                <w:lang w:eastAsia="fi-FI"/>
              </w:rPr>
              <w:t>False by more than one class</w:t>
            </w:r>
          </w:p>
        </w:tc>
        <w:tc>
          <w:tcPr>
            <w:tcW w:w="926"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1.6%</w:t>
            </w:r>
          </w:p>
        </w:tc>
        <w:tc>
          <w:tcPr>
            <w:tcW w:w="1157"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4.3%</w:t>
            </w:r>
          </w:p>
        </w:tc>
        <w:tc>
          <w:tcPr>
            <w:tcW w:w="1134"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29.8%</w:t>
            </w:r>
          </w:p>
        </w:tc>
        <w:tc>
          <w:tcPr>
            <w:tcW w:w="1134" w:type="dxa"/>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7.7%</w:t>
            </w:r>
          </w:p>
        </w:tc>
        <w:tc>
          <w:tcPr>
            <w:tcW w:w="1071" w:type="dxa"/>
            <w:shd w:val="clear" w:color="auto" w:fill="FFFFFF" w:themeFill="background1"/>
            <w:vAlign w:val="bottom"/>
          </w:tcPr>
          <w:p w:rsidR="0085558C" w:rsidRPr="00001031" w:rsidRDefault="0085558C" w:rsidP="00001031">
            <w:pPr>
              <w:keepNext/>
              <w:spacing w:before="60" w:after="60"/>
              <w:jc w:val="center"/>
              <w:textAlignment w:val="bottom"/>
              <w:rPr>
                <w:color w:val="000000"/>
                <w:sz w:val="24"/>
                <w:szCs w:val="22"/>
                <w:lang w:eastAsia="fi-FI"/>
              </w:rPr>
            </w:pPr>
            <w:r w:rsidRPr="00001031">
              <w:rPr>
                <w:color w:val="000000"/>
                <w:sz w:val="24"/>
                <w:szCs w:val="22"/>
                <w:lang w:eastAsia="fi-FI"/>
              </w:rPr>
              <w:t>15.4%</w:t>
            </w:r>
          </w:p>
        </w:tc>
      </w:tr>
    </w:tbl>
    <w:p w:rsidR="0085558C" w:rsidRPr="00001031" w:rsidRDefault="0085558C" w:rsidP="0085558C"/>
    <w:p w:rsidR="009F2428" w:rsidRPr="00001031" w:rsidRDefault="009F2428" w:rsidP="009F2428">
      <w:pPr>
        <w:pStyle w:val="Text"/>
      </w:pPr>
      <w:r w:rsidRPr="00001031">
        <w:t xml:space="preserve">In the results above, the forecast was calculated from the historic median curve independent of the ratio between the current state and the curve value. However, the Danish Road Directorate suggests using a threshold above which the last measurement is used instead of the forecast. Such a threshold value was sought by studying the proportion of time when the forecast would have been a more accurate choice as a function of the ratio between current state and historic curve. Nevertheless, </w:t>
      </w:r>
      <w:r w:rsidR="0085558C" w:rsidRPr="00001031">
        <w:t xml:space="preserve">based on the results </w:t>
      </w:r>
      <w:r w:rsidRPr="00001031">
        <w:t xml:space="preserve">the historic median based forecast was more reliable than the latest measurement, even if the difference between the latest measurement and the historic median was </w:t>
      </w:r>
      <w:r w:rsidRPr="00001031">
        <w:lastRenderedPageBreak/>
        <w:t>100%. Therefore it is recommended always to extrapolate the forecast from the historic value.</w:t>
      </w:r>
    </w:p>
    <w:p w:rsidR="009F2428" w:rsidRPr="00001031" w:rsidRDefault="009F2428" w:rsidP="009F2428">
      <w:pPr>
        <w:pStyle w:val="Text"/>
      </w:pPr>
      <w:r w:rsidRPr="00001031">
        <w:t>If a forecast accuracy of 15 minutes is not satisfactory, shorter prediction periods c</w:t>
      </w:r>
      <w:r w:rsidR="0085558C" w:rsidRPr="00001031">
        <w:t>ould be a solution.</w:t>
      </w:r>
      <w:r w:rsidRPr="00001031">
        <w:t xml:space="preserve"> We tested what the accuracy of forecasts would be if the prediction period </w:t>
      </w:r>
      <w:r w:rsidR="006C43C6">
        <w:t>were</w:t>
      </w:r>
      <w:r w:rsidR="006C43C6" w:rsidRPr="00001031">
        <w:t xml:space="preserve"> </w:t>
      </w:r>
      <w:r w:rsidRPr="00001031">
        <w:t xml:space="preserve">shorter: 10, 5 or 1 minute(s). The </w:t>
      </w:r>
      <w:r w:rsidR="0085558C" w:rsidRPr="00001031">
        <w:t>same princ</w:t>
      </w:r>
      <w:r w:rsidR="00AF3558" w:rsidRPr="00001031">
        <w:t>iples were applied as in the 15-</w:t>
      </w:r>
      <w:r w:rsidR="0085558C" w:rsidRPr="00001031">
        <w:t>min</w:t>
      </w:r>
      <w:r w:rsidR="00AF3558" w:rsidRPr="00001031">
        <w:t>ute</w:t>
      </w:r>
      <w:r w:rsidR="0085558C" w:rsidRPr="00001031">
        <w:t xml:space="preserve"> </w:t>
      </w:r>
      <w:r w:rsidRPr="00001031">
        <w:t>model.</w:t>
      </w:r>
    </w:p>
    <w:p w:rsidR="009F2428" w:rsidRPr="00001031" w:rsidRDefault="009F2428" w:rsidP="009F2428">
      <w:pPr>
        <w:pStyle w:val="Text"/>
      </w:pPr>
      <w:r w:rsidRPr="00001031">
        <w:t>The result of the basic model for different prediction period lengths was clear: it improved with a shorter prediction period, as seen in a smaller average error, smaller proportion of large errors, bigger proportion of correct forecasts and smaller proportion of forecasts false by more than one class.</w:t>
      </w:r>
      <w:r w:rsidR="0085558C" w:rsidRPr="00001031">
        <w:t xml:space="preserve"> </w:t>
      </w:r>
      <w:r w:rsidRPr="00001031">
        <w:t xml:space="preserve">However, this is also true with the last measurement used as the forecast. Thus the suitability of the models is not certain despite </w:t>
      </w:r>
      <w:r w:rsidR="00F5427E" w:rsidRPr="00001031">
        <w:t xml:space="preserve">the </w:t>
      </w:r>
      <w:r w:rsidRPr="00001031">
        <w:t>better performance. Consequently, the same performance indicators were calculated for 10-minute, 5-minute and 1-minute prediction periods assuming that the forecast would have been equal to the latest measurement.</w:t>
      </w:r>
    </w:p>
    <w:p w:rsidR="009F2428" w:rsidRPr="00001031" w:rsidRDefault="009F2428" w:rsidP="009F2428">
      <w:pPr>
        <w:pStyle w:val="Text"/>
      </w:pPr>
      <w:r w:rsidRPr="00001031">
        <w:t xml:space="preserve">For the 15-minute model, the forecast based on historic median curve outperformed the last measurement. </w:t>
      </w:r>
      <w:r w:rsidR="000E5101" w:rsidRPr="00001031">
        <w:t xml:space="preserve">For shorter prediction periods this was not the case. </w:t>
      </w:r>
      <w:r w:rsidR="007E6259" w:rsidRPr="00001031">
        <w:t xml:space="preserve">For the </w:t>
      </w:r>
      <w:proofErr w:type="spellStart"/>
      <w:r w:rsidR="007E6259" w:rsidRPr="00001031">
        <w:t>Konala</w:t>
      </w:r>
      <w:proofErr w:type="spellEnd"/>
      <w:r w:rsidR="007E6259" w:rsidRPr="00001031">
        <w:t>–</w:t>
      </w:r>
      <w:proofErr w:type="spellStart"/>
      <w:r w:rsidR="000E5101" w:rsidRPr="00001031">
        <w:t>Pakila</w:t>
      </w:r>
      <w:proofErr w:type="spellEnd"/>
      <w:r w:rsidR="000E5101" w:rsidRPr="00001031">
        <w:t xml:space="preserve"> link, the last measurement was more accurate than the historic </w:t>
      </w:r>
      <w:r w:rsidR="00F634E5" w:rsidRPr="00001031">
        <w:t>median</w:t>
      </w:r>
      <w:r w:rsidR="00F634E5">
        <w:t>-</w:t>
      </w:r>
      <w:r w:rsidR="000E5101" w:rsidRPr="00001031">
        <w:t xml:space="preserve">based </w:t>
      </w:r>
      <w:r w:rsidR="00F634E5">
        <w:t xml:space="preserve">one </w:t>
      </w:r>
      <w:r w:rsidR="000E5101" w:rsidRPr="00001031">
        <w:t xml:space="preserve">for all </w:t>
      </w:r>
      <w:r w:rsidR="00F634E5">
        <w:t xml:space="preserve">the </w:t>
      </w:r>
      <w:r w:rsidR="000E5101" w:rsidRPr="00001031">
        <w:t xml:space="preserve">prediction periods. The same applied </w:t>
      </w:r>
      <w:r w:rsidR="00F634E5">
        <w:t>to</w:t>
      </w:r>
      <w:r w:rsidR="00F634E5" w:rsidRPr="00001031">
        <w:t xml:space="preserve"> </w:t>
      </w:r>
      <w:r w:rsidR="007E6259" w:rsidRPr="00001031">
        <w:t>the 1-</w:t>
      </w:r>
      <w:r w:rsidR="000E5101" w:rsidRPr="00001031">
        <w:t>min</w:t>
      </w:r>
      <w:r w:rsidR="007E6259" w:rsidRPr="00001031">
        <w:t>ute</w:t>
      </w:r>
      <w:r w:rsidR="000E5101" w:rsidRPr="00001031">
        <w:t xml:space="preserve"> pre</w:t>
      </w:r>
      <w:r w:rsidR="007E6259" w:rsidRPr="00001031">
        <w:t>diction period on the Pukinmäki–</w:t>
      </w:r>
      <w:proofErr w:type="spellStart"/>
      <w:r w:rsidR="000E5101" w:rsidRPr="00001031">
        <w:t>Konala</w:t>
      </w:r>
      <w:proofErr w:type="spellEnd"/>
      <w:r w:rsidR="000E5101" w:rsidRPr="00001031">
        <w:t xml:space="preserve"> link. </w:t>
      </w:r>
      <w:r w:rsidRPr="00001031">
        <w:t xml:space="preserve">Thus the use of a historic </w:t>
      </w:r>
      <w:r w:rsidR="00F634E5" w:rsidRPr="00001031">
        <w:t>median</w:t>
      </w:r>
      <w:r w:rsidR="00F634E5">
        <w:t>-</w:t>
      </w:r>
      <w:r w:rsidRPr="00001031">
        <w:t>based forecast can only be recommended for a 15-minute period.</w:t>
      </w:r>
    </w:p>
    <w:p w:rsidR="00904E66" w:rsidRPr="00001031" w:rsidRDefault="00904E66" w:rsidP="007D2175">
      <w:pPr>
        <w:pStyle w:val="Heading1"/>
      </w:pPr>
      <w:r w:rsidRPr="00001031">
        <w:t>Incident risk assessment</w:t>
      </w:r>
    </w:p>
    <w:p w:rsidR="00343D39" w:rsidRPr="00001031" w:rsidRDefault="00343D39" w:rsidP="00343D39">
      <w:pPr>
        <w:pStyle w:val="Text"/>
      </w:pPr>
      <w:r w:rsidRPr="00001031">
        <w:t>Travel time prediction model</w:t>
      </w:r>
      <w:r w:rsidR="007E6259" w:rsidRPr="00001031">
        <w:t>s</w:t>
      </w:r>
      <w:r w:rsidRPr="00001031">
        <w:t xml:space="preserve"> like </w:t>
      </w:r>
      <w:proofErr w:type="spellStart"/>
      <w:r w:rsidRPr="00001031">
        <w:t>dynRP</w:t>
      </w:r>
      <w:proofErr w:type="spellEnd"/>
      <w:r w:rsidRPr="00001031">
        <w:t xml:space="preserve"> or its variant </w:t>
      </w:r>
      <w:r w:rsidR="00E737CE">
        <w:t xml:space="preserve">above </w:t>
      </w:r>
      <w:r w:rsidR="007E6259" w:rsidRPr="00001031">
        <w:t>work</w:t>
      </w:r>
      <w:r w:rsidRPr="00001031">
        <w:t xml:space="preserve"> better the closer the traffic situation is </w:t>
      </w:r>
      <w:proofErr w:type="gramStart"/>
      <w:r w:rsidRPr="00001031">
        <w:t>to</w:t>
      </w:r>
      <w:proofErr w:type="gramEnd"/>
      <w:r w:rsidRPr="00001031">
        <w:t xml:space="preserve"> </w:t>
      </w:r>
      <w:r w:rsidR="00FF7D19" w:rsidRPr="00001031">
        <w:t>normal</w:t>
      </w:r>
      <w:r w:rsidRPr="00001031">
        <w:t xml:space="preserve">. </w:t>
      </w:r>
      <w:r w:rsidR="007E6259" w:rsidRPr="00001031">
        <w:t>O</w:t>
      </w:r>
      <w:r w:rsidRPr="00001031">
        <w:t xml:space="preserve">ther more sophisticated models might be more flexible in the </w:t>
      </w:r>
      <w:r w:rsidR="007E6259" w:rsidRPr="00001031">
        <w:t xml:space="preserve">specific </w:t>
      </w:r>
      <w:r w:rsidR="00FF7D19" w:rsidRPr="00001031">
        <w:t xml:space="preserve">traffic </w:t>
      </w:r>
      <w:r w:rsidRPr="00001031">
        <w:t xml:space="preserve">environment where they perform well. Nevertheless, </w:t>
      </w:r>
      <w:r w:rsidR="003474E4" w:rsidRPr="00001031">
        <w:t xml:space="preserve">most (if not all) </w:t>
      </w:r>
      <w:r w:rsidRPr="00001031">
        <w:t>travel time prediction model</w:t>
      </w:r>
      <w:r w:rsidR="003474E4" w:rsidRPr="00001031">
        <w:t>s</w:t>
      </w:r>
      <w:r w:rsidRPr="00001031">
        <w:t xml:space="preserve"> </w:t>
      </w:r>
      <w:r w:rsidR="003474E4" w:rsidRPr="00001031">
        <w:t xml:space="preserve">are </w:t>
      </w:r>
      <w:r w:rsidR="007E6259" w:rsidRPr="00001031">
        <w:t>in</w:t>
      </w:r>
      <w:r w:rsidRPr="00001031">
        <w:t xml:space="preserve">capable of predicting an incident </w:t>
      </w:r>
      <w:r w:rsidR="007E6259" w:rsidRPr="00001031">
        <w:t>taking place</w:t>
      </w:r>
      <w:r w:rsidRPr="00001031">
        <w:t xml:space="preserve"> </w:t>
      </w:r>
      <w:r w:rsidR="003474E4" w:rsidRPr="00001031">
        <w:t xml:space="preserve">or </w:t>
      </w:r>
      <w:r w:rsidR="007E6259" w:rsidRPr="00001031">
        <w:t>what kind of</w:t>
      </w:r>
      <w:r w:rsidRPr="00001031">
        <w:t xml:space="preserve"> consequences</w:t>
      </w:r>
      <w:r w:rsidR="007E6259" w:rsidRPr="00001031">
        <w:t xml:space="preserve"> it will have</w:t>
      </w:r>
      <w:r w:rsidRPr="00001031">
        <w:t xml:space="preserve">. Therefore, as incidents are daily </w:t>
      </w:r>
      <w:r w:rsidR="003B0EB1" w:rsidRPr="00001031">
        <w:t>occurrences</w:t>
      </w:r>
      <w:r w:rsidRPr="00001031">
        <w:t xml:space="preserve"> for road operators, the use of </w:t>
      </w:r>
      <w:r w:rsidR="003B0EB1" w:rsidRPr="00001031">
        <w:t xml:space="preserve">a </w:t>
      </w:r>
      <w:r w:rsidRPr="00001031">
        <w:t xml:space="preserve">travel time prediction model does not solve the problem of </w:t>
      </w:r>
      <w:r w:rsidR="003B0EB1" w:rsidRPr="00001031">
        <w:t xml:space="preserve">only </w:t>
      </w:r>
      <w:r w:rsidRPr="00001031">
        <w:t xml:space="preserve">being able </w:t>
      </w:r>
      <w:r w:rsidR="003B0EB1" w:rsidRPr="00001031">
        <w:t>to</w:t>
      </w:r>
      <w:r w:rsidRPr="00001031">
        <w:t xml:space="preserve"> manage incidents </w:t>
      </w:r>
      <w:r w:rsidR="003B0EB1" w:rsidRPr="00001031">
        <w:t>re</w:t>
      </w:r>
      <w:r w:rsidRPr="00001031">
        <w:t xml:space="preserve">actively. If proactive incident management </w:t>
      </w:r>
      <w:r w:rsidR="00F21E5C" w:rsidRPr="00001031">
        <w:t xml:space="preserve">– </w:t>
      </w:r>
      <w:r w:rsidRPr="00001031">
        <w:t>i.e. incident risk management</w:t>
      </w:r>
      <w:r w:rsidR="00F21E5C" w:rsidRPr="00001031">
        <w:t xml:space="preserve"> –</w:t>
      </w:r>
      <w:r w:rsidRPr="00001031">
        <w:t xml:space="preserve"> is sought, some practices are needed for </w:t>
      </w:r>
      <w:r w:rsidR="00F21E5C" w:rsidRPr="00001031">
        <w:t xml:space="preserve">real-time </w:t>
      </w:r>
      <w:r w:rsidRPr="00001031">
        <w:t>incident risk assessment.</w:t>
      </w:r>
    </w:p>
    <w:p w:rsidR="003B23C6" w:rsidRPr="00001031" w:rsidRDefault="00E737CE" w:rsidP="00343D39">
      <w:pPr>
        <w:pStyle w:val="Text"/>
      </w:pPr>
      <w:r>
        <w:t>The extant</w:t>
      </w:r>
      <w:r w:rsidRPr="00001031">
        <w:t xml:space="preserve"> </w:t>
      </w:r>
      <w:r w:rsidR="003B23C6" w:rsidRPr="00001031">
        <w:t>literature did not contain models for assessing incident risk itself. However, models were found for estimating incident duration</w:t>
      </w:r>
      <w:r>
        <w:t xml:space="preserve"> and</w:t>
      </w:r>
      <w:r w:rsidR="003B23C6" w:rsidRPr="00001031">
        <w:t xml:space="preserve"> risk of </w:t>
      </w:r>
      <w:r w:rsidR="003B23C6" w:rsidRPr="00001031">
        <w:lastRenderedPageBreak/>
        <w:t xml:space="preserve">secondary </w:t>
      </w:r>
      <w:proofErr w:type="gramStart"/>
      <w:r w:rsidR="003B23C6" w:rsidRPr="00001031">
        <w:t>incidents</w:t>
      </w:r>
      <w:r>
        <w:t>,</w:t>
      </w:r>
      <w:proofErr w:type="gramEnd"/>
      <w:r w:rsidR="003B23C6" w:rsidRPr="00001031">
        <w:t xml:space="preserve"> </w:t>
      </w:r>
      <w:r>
        <w:t>and for</w:t>
      </w:r>
      <w:r w:rsidR="003B23C6" w:rsidRPr="00001031">
        <w:t xml:space="preserve"> traffic flow and travel time prediction under incident conditions.</w:t>
      </w:r>
    </w:p>
    <w:p w:rsidR="00811DAB" w:rsidRPr="00001031" w:rsidRDefault="00811DAB" w:rsidP="00FF7D19">
      <w:pPr>
        <w:pStyle w:val="Text"/>
      </w:pPr>
      <w:r w:rsidRPr="00001031">
        <w:t xml:space="preserve">A method developed by </w:t>
      </w:r>
      <w:proofErr w:type="spellStart"/>
      <w:r w:rsidRPr="00001031">
        <w:t>Khattak</w:t>
      </w:r>
      <w:proofErr w:type="spellEnd"/>
      <w:r w:rsidRPr="00001031">
        <w:t xml:space="preserve"> et al. (2012) </w:t>
      </w:r>
      <w:r w:rsidR="00E737CE" w:rsidRPr="00001031">
        <w:t>analyse</w:t>
      </w:r>
      <w:r w:rsidR="00E737CE">
        <w:t>s</w:t>
      </w:r>
      <w:r w:rsidR="00E737CE" w:rsidRPr="00001031">
        <w:t xml:space="preserve"> </w:t>
      </w:r>
      <w:r w:rsidRPr="00001031">
        <w:t xml:space="preserve">traffic incidents and </w:t>
      </w:r>
      <w:r w:rsidR="00E737CE">
        <w:t>includes</w:t>
      </w:r>
      <w:r w:rsidR="00E737CE" w:rsidRPr="00001031">
        <w:t xml:space="preserve"> </w:t>
      </w:r>
      <w:r w:rsidRPr="00001031">
        <w:t>an online tool (</w:t>
      </w:r>
      <w:proofErr w:type="spellStart"/>
      <w:r w:rsidRPr="00001031">
        <w:t>iMiT</w:t>
      </w:r>
      <w:proofErr w:type="spellEnd"/>
      <w:r w:rsidRPr="00001031">
        <w:t xml:space="preserve">, incident Management integration Tool) that could dynamically predict the duration of incidents, occurrence of secondary incidents and associated incident delays. </w:t>
      </w:r>
      <w:r w:rsidR="00E737CE">
        <w:t>The authors of the method</w:t>
      </w:r>
      <w:r w:rsidR="00E737CE" w:rsidRPr="00001031">
        <w:t xml:space="preserve"> </w:t>
      </w:r>
      <w:r w:rsidRPr="00001031">
        <w:t xml:space="preserve">assessed that </w:t>
      </w:r>
      <w:r w:rsidR="00E737CE">
        <w:t>such a</w:t>
      </w:r>
      <w:r w:rsidRPr="00001031">
        <w:t xml:space="preserve"> tool could be used i</w:t>
      </w:r>
      <w:r w:rsidR="005F2D2B" w:rsidRPr="00001031">
        <w:t>n TMCs to help support decision-</w:t>
      </w:r>
      <w:r w:rsidRPr="00001031">
        <w:t xml:space="preserve">making. </w:t>
      </w:r>
      <w:r w:rsidR="00E737CE">
        <w:t>The r</w:t>
      </w:r>
      <w:r w:rsidR="00E737CE" w:rsidRPr="00001031">
        <w:t xml:space="preserve">elative </w:t>
      </w:r>
      <w:r w:rsidR="005F2D2B" w:rsidRPr="00001031">
        <w:t>prediction e</w:t>
      </w:r>
      <w:r w:rsidRPr="00001031">
        <w:t xml:space="preserve">rror was </w:t>
      </w:r>
      <w:r w:rsidR="005F2D2B" w:rsidRPr="00001031">
        <w:t xml:space="preserve">found to be </w:t>
      </w:r>
      <w:r w:rsidRPr="00001031">
        <w:t>relatively low (37–47%) for incidents of average durations (10–30 minutes).</w:t>
      </w:r>
    </w:p>
    <w:p w:rsidR="00C200F4" w:rsidRPr="00001031" w:rsidRDefault="00C200F4" w:rsidP="00FF7D19">
      <w:pPr>
        <w:pStyle w:val="Text"/>
      </w:pPr>
      <w:proofErr w:type="spellStart"/>
      <w:r w:rsidRPr="00001031">
        <w:t>Vlahogianni</w:t>
      </w:r>
      <w:proofErr w:type="spellEnd"/>
      <w:r w:rsidRPr="00001031">
        <w:t xml:space="preserve"> et al. (2012) introduced a neural network model approach to extract</w:t>
      </w:r>
      <w:r w:rsidR="00E737CE">
        <w:t>ing</w:t>
      </w:r>
      <w:r w:rsidRPr="00001031">
        <w:t xml:space="preserve"> useful infor</w:t>
      </w:r>
      <w:r w:rsidR="004B3E7E" w:rsidRPr="00001031">
        <w:t>mation on variables as</w:t>
      </w:r>
      <w:r w:rsidRPr="00001031">
        <w:t xml:space="preserve">sociated with the likelihood of secondary accidents. </w:t>
      </w:r>
      <w:r w:rsidR="00521772">
        <w:t>T</w:t>
      </w:r>
      <w:r w:rsidRPr="00001031">
        <w:t xml:space="preserve">raffic and weather conditions at the site of a primary incident were examined. To detect secondary incidents, a dynamic threshold methodology was used that considers real-time traffic information from loop detectors. </w:t>
      </w:r>
      <w:r w:rsidR="00521772">
        <w:t>The r</w:t>
      </w:r>
      <w:r w:rsidR="00521772" w:rsidRPr="00001031">
        <w:t xml:space="preserve">esults </w:t>
      </w:r>
      <w:r w:rsidR="00B519E2" w:rsidRPr="00001031">
        <w:t>suggest</w:t>
      </w:r>
      <w:r w:rsidRPr="00001031">
        <w:t xml:space="preserve"> that traffic speed, duration of the primary accident, hourly volume, rainfall intensity, and the number of vehicles involved in the primary accident are the top five factors associated with secondary accident likelihood.</w:t>
      </w:r>
    </w:p>
    <w:p w:rsidR="005F2D2B" w:rsidRPr="00001031" w:rsidRDefault="005F2D2B" w:rsidP="00FF7D19">
      <w:pPr>
        <w:pStyle w:val="Text"/>
      </w:pPr>
      <w:proofErr w:type="spellStart"/>
      <w:r w:rsidRPr="00001031">
        <w:t>Kamga</w:t>
      </w:r>
      <w:proofErr w:type="spellEnd"/>
      <w:r w:rsidRPr="00001031">
        <w:t xml:space="preserve"> et al. (2011) examined the distribution of travel time of origin–destination pairs on a </w:t>
      </w:r>
      <w:r w:rsidR="008731CC" w:rsidRPr="00001031">
        <w:t>transportation network under in</w:t>
      </w:r>
      <w:r w:rsidRPr="00001031">
        <w:t xml:space="preserve">cident conditions using a transportation simulation dynamic traffic assignment (DTA) model. In the model, </w:t>
      </w:r>
      <w:r w:rsidR="00521772">
        <w:t xml:space="preserve">an </w:t>
      </w:r>
      <w:r w:rsidRPr="00001031">
        <w:t xml:space="preserve">incident on a transportation network was executed </w:t>
      </w:r>
      <w:r w:rsidR="008731CC" w:rsidRPr="00001031">
        <w:t xml:space="preserve">first </w:t>
      </w:r>
      <w:r w:rsidRPr="00001031">
        <w:t xml:space="preserve">under normal conditions, </w:t>
      </w:r>
      <w:r w:rsidR="008731CC" w:rsidRPr="00001031">
        <w:t xml:space="preserve">then </w:t>
      </w:r>
      <w:r w:rsidRPr="00001031">
        <w:t>under incident conditions without traveller information, and finally under incident conditions assuming that users had perfect knowledge of the incident conditions and could select paths to avoid the incident location. The results suggest that incidents have a different impact on different origin</w:t>
      </w:r>
      <w:r w:rsidR="00521772">
        <w:t>-</w:t>
      </w:r>
      <w:r w:rsidRPr="00001031">
        <w:t>destination pairs. The</w:t>
      </w:r>
      <w:r w:rsidR="008731CC" w:rsidRPr="00001031">
        <w:t>y</w:t>
      </w:r>
      <w:r w:rsidRPr="00001031">
        <w:t xml:space="preserve"> confirm that an effective traveller information system has the potential to ease the impacts of incident conditions throughout the transportation network. </w:t>
      </w:r>
      <w:r w:rsidR="008731CC" w:rsidRPr="00001031">
        <w:t>However,</w:t>
      </w:r>
      <w:r w:rsidRPr="00001031">
        <w:t xml:space="preserve"> the use of information may be detrimental to some origin</w:t>
      </w:r>
      <w:r w:rsidR="00521772">
        <w:t>-</w:t>
      </w:r>
      <w:r w:rsidRPr="00001031">
        <w:t>destination pairs while benefiting others.</w:t>
      </w:r>
    </w:p>
    <w:p w:rsidR="003474E4" w:rsidRPr="00001031" w:rsidRDefault="00F71E72" w:rsidP="00FF7D19">
      <w:pPr>
        <w:pStyle w:val="Text"/>
      </w:pPr>
      <w:r w:rsidRPr="00001031">
        <w:t>An a</w:t>
      </w:r>
      <w:r w:rsidR="00A36454" w:rsidRPr="00001031">
        <w:t xml:space="preserve">lternative approach </w:t>
      </w:r>
      <w:r w:rsidRPr="00001031">
        <w:t>to</w:t>
      </w:r>
      <w:r w:rsidR="00A36454" w:rsidRPr="00001031">
        <w:t xml:space="preserve"> using mathematical models </w:t>
      </w:r>
      <w:r w:rsidRPr="00001031">
        <w:t>in estimating</w:t>
      </w:r>
      <w:r w:rsidR="00A36454" w:rsidRPr="00001031">
        <w:t xml:space="preserve"> incident risk is to </w:t>
      </w:r>
      <w:r w:rsidRPr="00001031">
        <w:t>utilise</w:t>
      </w:r>
      <w:r w:rsidR="00A36454" w:rsidRPr="00001031">
        <w:t xml:space="preserve"> long-term traffic operator expertise and best practices developed based on </w:t>
      </w:r>
      <w:r w:rsidRPr="00001031">
        <w:t>this expertise</w:t>
      </w:r>
      <w:r w:rsidR="00A36454" w:rsidRPr="00001031">
        <w:t xml:space="preserve">. </w:t>
      </w:r>
      <w:r w:rsidR="00FF7D19" w:rsidRPr="00001031">
        <w:t xml:space="preserve">The </w:t>
      </w:r>
      <w:proofErr w:type="spellStart"/>
      <w:r w:rsidR="00FF7D19" w:rsidRPr="00001031">
        <w:t>Rijkswaterstaat</w:t>
      </w:r>
      <w:proofErr w:type="spellEnd"/>
      <w:r w:rsidR="00FF7D19" w:rsidRPr="00001031">
        <w:t xml:space="preserve"> Traffic Management Centre (</w:t>
      </w:r>
      <w:r w:rsidR="003474E4" w:rsidRPr="00001031">
        <w:t xml:space="preserve">RWS </w:t>
      </w:r>
      <w:r w:rsidR="00FF7D19" w:rsidRPr="00001031">
        <w:t xml:space="preserve">TMC) </w:t>
      </w:r>
      <w:r w:rsidR="00A36454" w:rsidRPr="00001031">
        <w:t xml:space="preserve">in the Netherlands </w:t>
      </w:r>
      <w:r w:rsidR="003474E4" w:rsidRPr="00001031">
        <w:t xml:space="preserve">has many </w:t>
      </w:r>
      <w:r w:rsidR="006D2238" w:rsidRPr="00001031">
        <w:t>useful</w:t>
      </w:r>
      <w:r w:rsidR="003474E4" w:rsidRPr="00001031">
        <w:t xml:space="preserve"> </w:t>
      </w:r>
      <w:r w:rsidR="00936C3E" w:rsidRPr="00001031">
        <w:t>best practices related to</w:t>
      </w:r>
      <w:r w:rsidR="003474E4" w:rsidRPr="00001031">
        <w:t xml:space="preserve"> incident risk assessment. </w:t>
      </w:r>
      <w:r w:rsidR="006A2073" w:rsidRPr="00001031">
        <w:t xml:space="preserve">They </w:t>
      </w:r>
      <w:r w:rsidR="00936C3E" w:rsidRPr="00001031">
        <w:t>take a</w:t>
      </w:r>
      <w:r w:rsidR="003474E4" w:rsidRPr="00001031">
        <w:t xml:space="preserve"> long-term </w:t>
      </w:r>
      <w:r w:rsidR="00936C3E" w:rsidRPr="00001031">
        <w:t>approach</w:t>
      </w:r>
      <w:r w:rsidR="003474E4" w:rsidRPr="00001031">
        <w:t xml:space="preserve"> </w:t>
      </w:r>
      <w:r w:rsidR="006A2073" w:rsidRPr="00001031">
        <w:t>aiming to en</w:t>
      </w:r>
      <w:r w:rsidR="00A36454" w:rsidRPr="00001031">
        <w:t xml:space="preserve">sure that traffic operators </w:t>
      </w:r>
      <w:r w:rsidR="00936C3E" w:rsidRPr="00001031">
        <w:t>are aware of</w:t>
      </w:r>
      <w:r w:rsidR="00A36454" w:rsidRPr="00001031">
        <w:t xml:space="preserve"> the areas that are </w:t>
      </w:r>
      <w:r w:rsidR="00936C3E" w:rsidRPr="00001031">
        <w:t>incident-</w:t>
      </w:r>
      <w:r w:rsidR="00A36454" w:rsidRPr="00001031">
        <w:t xml:space="preserve">prone </w:t>
      </w:r>
      <w:r w:rsidR="00936C3E" w:rsidRPr="00001031">
        <w:t>and that</w:t>
      </w:r>
      <w:r w:rsidR="006A2073" w:rsidRPr="00001031">
        <w:t xml:space="preserve"> incident risk</w:t>
      </w:r>
      <w:r w:rsidR="00936C3E" w:rsidRPr="00001031">
        <w:t xml:space="preserve"> is reduced</w:t>
      </w:r>
      <w:r w:rsidR="00A36454" w:rsidRPr="00001031">
        <w:t>.</w:t>
      </w:r>
    </w:p>
    <w:p w:rsidR="00FF7D19" w:rsidRPr="00001031" w:rsidRDefault="003474E4" w:rsidP="006A2073">
      <w:pPr>
        <w:pStyle w:val="Text"/>
      </w:pPr>
      <w:r w:rsidRPr="00001031">
        <w:lastRenderedPageBreak/>
        <w:t xml:space="preserve">RWS TMC </w:t>
      </w:r>
      <w:r w:rsidR="00FF7D19" w:rsidRPr="00001031">
        <w:t xml:space="preserve">carries out long-term incident risk assessment </w:t>
      </w:r>
      <w:r w:rsidR="00DC5DA3" w:rsidRPr="00001031">
        <w:t>by creating</w:t>
      </w:r>
      <w:r w:rsidR="00FF7D19" w:rsidRPr="00001031">
        <w:t xml:space="preserve"> annual and weekly forecasts</w:t>
      </w:r>
      <w:r w:rsidRPr="00001031">
        <w:t xml:space="preserve"> (van den Berg and van Wijngaarden, 2013)</w:t>
      </w:r>
      <w:r w:rsidR="00FF7D19" w:rsidRPr="00001031">
        <w:t xml:space="preserve">. </w:t>
      </w:r>
      <w:r w:rsidR="00DC5DA3" w:rsidRPr="00001031">
        <w:t>At</w:t>
      </w:r>
      <w:r w:rsidR="00FF7D19" w:rsidRPr="00001031">
        <w:t xml:space="preserve"> an annual level, a</w:t>
      </w:r>
      <w:r w:rsidR="00DC5DA3" w:rsidRPr="00001031">
        <w:t>n area-specific</w:t>
      </w:r>
      <w:r w:rsidR="00FF7D19" w:rsidRPr="00001031">
        <w:t xml:space="preserve"> list of road</w:t>
      </w:r>
      <w:r w:rsidR="00E44BA4">
        <w:t xml:space="preserve"> </w:t>
      </w:r>
      <w:r w:rsidR="00DC5DA3" w:rsidRPr="00001031">
        <w:t>works and other</w:t>
      </w:r>
      <w:r w:rsidR="00FF7D19" w:rsidRPr="00001031">
        <w:t xml:space="preserve"> </w:t>
      </w:r>
      <w:r w:rsidR="00DC5DA3" w:rsidRPr="00001031">
        <w:t>major</w:t>
      </w:r>
      <w:r w:rsidR="00FF7D19" w:rsidRPr="00001031">
        <w:t xml:space="preserve"> events known to affect traffic</w:t>
      </w:r>
      <w:r w:rsidR="00DC5DA3" w:rsidRPr="00001031">
        <w:t xml:space="preserve"> is maintained</w:t>
      </w:r>
      <w:r w:rsidR="00FF7D19" w:rsidRPr="00001031">
        <w:t xml:space="preserve"> for the following year. This long-term forecast or situational picture is updated monthly and used for traffic management and planning of road works as follows:</w:t>
      </w:r>
      <w:r w:rsidR="006A2073" w:rsidRPr="00001031">
        <w:t xml:space="preserve"> (1) </w:t>
      </w:r>
      <w:r w:rsidR="00FF7D19" w:rsidRPr="00001031">
        <w:t>Two road works are performed in the same direction of a certain road section simultaneously rather than in sequence.</w:t>
      </w:r>
      <w:r w:rsidR="006A2073" w:rsidRPr="00001031">
        <w:t xml:space="preserve"> (2) </w:t>
      </w:r>
      <w:r w:rsidR="00FF7D19" w:rsidRPr="00001031">
        <w:t>Road works are not performed on an alternative route or detour around other road</w:t>
      </w:r>
      <w:r w:rsidR="00E44BA4">
        <w:t xml:space="preserve"> </w:t>
      </w:r>
      <w:r w:rsidR="00FF7D19" w:rsidRPr="00001031">
        <w:t>work.</w:t>
      </w:r>
    </w:p>
    <w:p w:rsidR="00FF7D19" w:rsidRPr="00001031" w:rsidRDefault="00FF7D19" w:rsidP="00FF7D19">
      <w:pPr>
        <w:pStyle w:val="Text"/>
      </w:pPr>
      <w:r w:rsidRPr="00001031">
        <w:t>Every week, the items in the annual forecast are checked</w:t>
      </w:r>
      <w:r w:rsidR="003474E4" w:rsidRPr="00001031">
        <w:t xml:space="preserve"> in </w:t>
      </w:r>
      <w:r w:rsidR="00682C87" w:rsidRPr="00001031">
        <w:t xml:space="preserve">the </w:t>
      </w:r>
      <w:r w:rsidR="003474E4" w:rsidRPr="00001031">
        <w:t>RWS TMC</w:t>
      </w:r>
      <w:r w:rsidRPr="00001031">
        <w:t>. The weather forecast and other issues that potentially affect traffic</w:t>
      </w:r>
      <w:r w:rsidR="00682C87" w:rsidRPr="00001031">
        <w:t xml:space="preserve"> are listed</w:t>
      </w:r>
      <w:r w:rsidRPr="00001031">
        <w:t xml:space="preserve"> together with their estimated effects</w:t>
      </w:r>
      <w:r w:rsidR="00475F06" w:rsidRPr="00001031">
        <w:t xml:space="preserve"> to evaluate how best </w:t>
      </w:r>
      <w:r w:rsidR="00E44BA4" w:rsidRPr="00001031">
        <w:t xml:space="preserve">to </w:t>
      </w:r>
      <w:r w:rsidR="00475F06" w:rsidRPr="00001031">
        <w:t xml:space="preserve">increase </w:t>
      </w:r>
      <w:r w:rsidR="006D2238" w:rsidRPr="00001031">
        <w:t>traffic fluency</w:t>
      </w:r>
      <w:r w:rsidRPr="00001031">
        <w:t xml:space="preserve">. This is done in a weekly meeting with </w:t>
      </w:r>
      <w:r w:rsidR="003474E4" w:rsidRPr="00001031">
        <w:t>traffic operators, traffic engi</w:t>
      </w:r>
      <w:r w:rsidRPr="00001031">
        <w:t xml:space="preserve">neers, traffic inspectors, and </w:t>
      </w:r>
      <w:r w:rsidR="006D2238" w:rsidRPr="00001031">
        <w:t>project managers</w:t>
      </w:r>
      <w:r w:rsidRPr="00001031">
        <w:t xml:space="preserve"> responsible for road works to combine data and knowledge. </w:t>
      </w:r>
      <w:r w:rsidR="00682C87" w:rsidRPr="00001031">
        <w:t>T</w:t>
      </w:r>
      <w:r w:rsidRPr="00001031">
        <w:t xml:space="preserve">he weekly forecast is </w:t>
      </w:r>
      <w:r w:rsidR="00682C87" w:rsidRPr="00001031">
        <w:t>aimed at</w:t>
      </w:r>
      <w:r w:rsidRPr="00001031">
        <w:t xml:space="preserve"> </w:t>
      </w:r>
      <w:r w:rsidR="00682C87" w:rsidRPr="00001031">
        <w:t>highlighting</w:t>
      </w:r>
      <w:r w:rsidRPr="00001031">
        <w:t xml:space="preserve"> which parts of </w:t>
      </w:r>
      <w:r w:rsidR="006D2238" w:rsidRPr="00001031">
        <w:t xml:space="preserve">the </w:t>
      </w:r>
      <w:r w:rsidRPr="00001031">
        <w:t>road network need special attention</w:t>
      </w:r>
      <w:r w:rsidR="00682C87" w:rsidRPr="00001031">
        <w:t xml:space="preserve"> at the TMC</w:t>
      </w:r>
      <w:r w:rsidR="006D2238" w:rsidRPr="00001031">
        <w:t xml:space="preserve"> and to provide</w:t>
      </w:r>
      <w:r w:rsidRPr="00001031">
        <w:t xml:space="preserve"> </w:t>
      </w:r>
      <w:r w:rsidR="006D2238" w:rsidRPr="00001031">
        <w:t>sufficient</w:t>
      </w:r>
      <w:r w:rsidRPr="00001031">
        <w:t xml:space="preserve"> time to code appropriate message</w:t>
      </w:r>
      <w:r w:rsidR="006D2238" w:rsidRPr="00001031">
        <w:t>s</w:t>
      </w:r>
      <w:r w:rsidRPr="00001031">
        <w:t xml:space="preserve"> to variable message signs.</w:t>
      </w:r>
      <w:r w:rsidR="003474E4" w:rsidRPr="00001031">
        <w:t xml:space="preserve"> (</w:t>
      </w:r>
      <w:proofErr w:type="gramStart"/>
      <w:r w:rsidR="003474E4" w:rsidRPr="00001031">
        <w:t>van</w:t>
      </w:r>
      <w:proofErr w:type="gramEnd"/>
      <w:r w:rsidR="003474E4" w:rsidRPr="00001031">
        <w:t xml:space="preserve"> den Berg and van Wijngaarden, 2013)</w:t>
      </w:r>
    </w:p>
    <w:p w:rsidR="00343D39" w:rsidRPr="00001031" w:rsidRDefault="00FF7D19" w:rsidP="00FF7D19">
      <w:pPr>
        <w:pStyle w:val="Text"/>
      </w:pPr>
      <w:r w:rsidRPr="00001031">
        <w:t xml:space="preserve">On a daily basis, traffic situation forecasts </w:t>
      </w:r>
      <w:r w:rsidR="00475F06" w:rsidRPr="00001031">
        <w:t>(maps) are prepared twice a day</w:t>
      </w:r>
      <w:r w:rsidR="00E44BA4">
        <w:t>,</w:t>
      </w:r>
      <w:r w:rsidRPr="00001031">
        <w:t xml:space="preserve"> morning and evening. The same week of the previous year serves as </w:t>
      </w:r>
      <w:r w:rsidR="007F3F6A" w:rsidRPr="00001031">
        <w:t>the forecast adjusted for</w:t>
      </w:r>
      <w:r w:rsidRPr="00001031">
        <w:t xml:space="preserve"> </w:t>
      </w:r>
      <w:r w:rsidR="007F3F6A" w:rsidRPr="00001031">
        <w:t xml:space="preserve">potential </w:t>
      </w:r>
      <w:r w:rsidRPr="00001031">
        <w:t xml:space="preserve">exceptional </w:t>
      </w:r>
      <w:r w:rsidR="007F3F6A" w:rsidRPr="00001031">
        <w:t>conditions</w:t>
      </w:r>
      <w:r w:rsidRPr="00001031">
        <w:t xml:space="preserve"> to represent the average traffic situation. </w:t>
      </w:r>
      <w:r w:rsidR="003474E4" w:rsidRPr="00001031">
        <w:t>(</w:t>
      </w:r>
      <w:proofErr w:type="gramStart"/>
      <w:r w:rsidR="003474E4" w:rsidRPr="00001031">
        <w:t>van</w:t>
      </w:r>
      <w:proofErr w:type="gramEnd"/>
      <w:r w:rsidR="003474E4" w:rsidRPr="00001031">
        <w:t xml:space="preserve"> den Berg and van Wijngaarden, 2013)</w:t>
      </w:r>
    </w:p>
    <w:p w:rsidR="00965FCB" w:rsidRPr="00001031" w:rsidRDefault="00965FCB" w:rsidP="00965FCB">
      <w:pPr>
        <w:pStyle w:val="Heading1"/>
      </w:pPr>
      <w:r w:rsidRPr="00001031">
        <w:t>Discussion</w:t>
      </w:r>
    </w:p>
    <w:p w:rsidR="00A461D6" w:rsidRPr="00001031" w:rsidRDefault="00E44BA4" w:rsidP="0072746C">
      <w:pPr>
        <w:pStyle w:val="Text"/>
      </w:pPr>
      <w:r>
        <w:t xml:space="preserve">In our study, the </w:t>
      </w:r>
      <w:proofErr w:type="spellStart"/>
      <w:r w:rsidR="005E1524" w:rsidRPr="00001031">
        <w:t>DynRP</w:t>
      </w:r>
      <w:proofErr w:type="spellEnd"/>
      <w:r w:rsidR="005E1524" w:rsidRPr="00001031">
        <w:t xml:space="preserve"> </w:t>
      </w:r>
      <w:r w:rsidR="00D12720" w:rsidRPr="00001031">
        <w:t xml:space="preserve">travel time prediction </w:t>
      </w:r>
      <w:r w:rsidR="005E1524" w:rsidRPr="00001031">
        <w:t>model developed and applied by</w:t>
      </w:r>
      <w:r w:rsidR="00493E17" w:rsidRPr="00001031">
        <w:t xml:space="preserve"> the</w:t>
      </w:r>
      <w:r w:rsidR="005E1524" w:rsidRPr="00001031">
        <w:t xml:space="preserve"> Danish Road </w:t>
      </w:r>
      <w:r w:rsidR="00D12720" w:rsidRPr="00001031">
        <w:t xml:space="preserve">Directorate </w:t>
      </w:r>
      <w:r w:rsidR="005E1524" w:rsidRPr="00001031">
        <w:t xml:space="preserve">was considered </w:t>
      </w:r>
      <w:r w:rsidR="00493E17" w:rsidRPr="00001031">
        <w:t xml:space="preserve">the most </w:t>
      </w:r>
      <w:r w:rsidR="005E1524" w:rsidRPr="00001031">
        <w:t xml:space="preserve">promising and worth piloting. </w:t>
      </w:r>
      <w:r w:rsidR="00493E17" w:rsidRPr="00001031">
        <w:t>A</w:t>
      </w:r>
      <w:r w:rsidR="00A461D6" w:rsidRPr="00001031">
        <w:t xml:space="preserve"> slightly modified version of the model</w:t>
      </w:r>
      <w:r>
        <w:t>, based on median values of direct travel time measurements,</w:t>
      </w:r>
      <w:r w:rsidR="00A461D6" w:rsidRPr="00001031">
        <w:t xml:space="preserve"> was piloted on Ring I of the Helsinki Metropolitan Area. It included annual historic median values for all minutes of all weekdays separately. The forecast was interpolated or extrapolated based on the latest measurement and the historic median curve.</w:t>
      </w:r>
    </w:p>
    <w:p w:rsidR="00A461D6" w:rsidRPr="00001031" w:rsidRDefault="00A461D6" w:rsidP="00A461D6">
      <w:pPr>
        <w:pStyle w:val="Text"/>
      </w:pPr>
      <w:r w:rsidRPr="00001031">
        <w:t xml:space="preserve">The main results show that </w:t>
      </w:r>
      <w:r w:rsidR="00E44BA4">
        <w:t>a</w:t>
      </w:r>
      <w:r w:rsidR="00E44BA4" w:rsidRPr="00001031">
        <w:t xml:space="preserve"> </w:t>
      </w:r>
      <w:r w:rsidRPr="00001031">
        <w:t xml:space="preserve">15-minute prediction model </w:t>
      </w:r>
      <w:r w:rsidR="00E44BA4">
        <w:t>gives</w:t>
      </w:r>
      <w:r w:rsidR="00E44BA4" w:rsidRPr="00001031">
        <w:t xml:space="preserve"> </w:t>
      </w:r>
      <w:r w:rsidRPr="00001031">
        <w:t xml:space="preserve">better travel time estimates </w:t>
      </w:r>
      <w:r w:rsidR="00E44BA4">
        <w:t xml:space="preserve">than </w:t>
      </w:r>
      <w:r w:rsidRPr="00001031">
        <w:t>using the latest measurement</w:t>
      </w:r>
      <w:r w:rsidR="00E44BA4">
        <w:t xml:space="preserve"> alone</w:t>
      </w:r>
      <w:r w:rsidRPr="00001031">
        <w:t xml:space="preserve">, especially in congested conditions. Specifically, the model predicted the travel time correctly 77–82% of the time in congested conditions </w:t>
      </w:r>
      <w:r w:rsidR="00C64C30" w:rsidRPr="00001031">
        <w:t xml:space="preserve">if </w:t>
      </w:r>
      <w:r w:rsidR="00E44BA4">
        <w:t xml:space="preserve">the </w:t>
      </w:r>
      <w:r w:rsidR="00C64C30" w:rsidRPr="00001031">
        <w:t xml:space="preserve">forecast was considered correct when the error was at most </w:t>
      </w:r>
      <w:r w:rsidRPr="00001031">
        <w:t xml:space="preserve">20%. The corresponding proportion was 71–76% with the latest measurement. The model did not fulfil the threshold of keeping maximum errors between 10% and 25% that was </w:t>
      </w:r>
      <w:r w:rsidRPr="00001031">
        <w:lastRenderedPageBreak/>
        <w:t>prevalent in the literature</w:t>
      </w:r>
      <w:r w:rsidR="00C64C30" w:rsidRPr="00001031">
        <w:t xml:space="preserve"> (Innamaa 2009)</w:t>
      </w:r>
      <w:r w:rsidRPr="00001031">
        <w:t xml:space="preserve">. Therefore the use of this forecast may not be beneficial. Nevertheless, if decisions must be made proactively, the forecast would lead to better decisions more often than just using the latest measurement. </w:t>
      </w:r>
      <w:r w:rsidR="00E44BA4">
        <w:t>U</w:t>
      </w:r>
      <w:r w:rsidRPr="00001031">
        <w:t xml:space="preserve">se of </w:t>
      </w:r>
      <w:r w:rsidR="00E44BA4">
        <w:t xml:space="preserve">the </w:t>
      </w:r>
      <w:r w:rsidRPr="00001031">
        <w:t xml:space="preserve">model can </w:t>
      </w:r>
      <w:r w:rsidR="00493E17" w:rsidRPr="00001031">
        <w:t xml:space="preserve">therefore </w:t>
      </w:r>
      <w:r w:rsidRPr="00001031">
        <w:t>be recommended.</w:t>
      </w:r>
    </w:p>
    <w:p w:rsidR="00A461D6" w:rsidRPr="00001031" w:rsidRDefault="00493E17" w:rsidP="00A461D6">
      <w:pPr>
        <w:pStyle w:val="Text"/>
      </w:pPr>
      <w:r w:rsidRPr="00001031">
        <w:t>In further examination</w:t>
      </w:r>
      <w:r w:rsidR="00A461D6" w:rsidRPr="00001031">
        <w:t xml:space="preserve">, shorter-than-15-minute prediction models provided more accurate estimates than the 15-minute model. However, with the shorter prediction period length the latest measurement served better as an estimate, and the difference from the prediction model was small if any, or even negative. Therefore, the use of these shorter-term models cannot be recommended. If shorter-term prediction is needed, </w:t>
      </w:r>
      <w:r w:rsidRPr="00001031">
        <w:t xml:space="preserve">the use of </w:t>
      </w:r>
      <w:r w:rsidR="00A461D6" w:rsidRPr="00001031">
        <w:t>the latest measurement as the forecast</w:t>
      </w:r>
      <w:r w:rsidRPr="00001031">
        <w:t xml:space="preserve"> is recommended</w:t>
      </w:r>
      <w:r w:rsidR="00A461D6" w:rsidRPr="00001031">
        <w:t>.</w:t>
      </w:r>
    </w:p>
    <w:p w:rsidR="00965FCB" w:rsidRPr="00001031" w:rsidRDefault="002B7D59" w:rsidP="00A461D6">
      <w:pPr>
        <w:pStyle w:val="Text"/>
      </w:pPr>
      <w:r w:rsidRPr="00001031">
        <w:t>T</w:t>
      </w:r>
      <w:r w:rsidR="00A461D6" w:rsidRPr="00001031">
        <w:t xml:space="preserve">he </w:t>
      </w:r>
      <w:proofErr w:type="spellStart"/>
      <w:r w:rsidR="00A461D6" w:rsidRPr="00001031">
        <w:t>dynRP</w:t>
      </w:r>
      <w:proofErr w:type="spellEnd"/>
      <w:r w:rsidR="00A461D6" w:rsidRPr="00001031">
        <w:t xml:space="preserve"> model </w:t>
      </w:r>
      <w:r w:rsidRPr="00001031">
        <w:t>has</w:t>
      </w:r>
      <w:r w:rsidR="00A461D6" w:rsidRPr="00001031">
        <w:t xml:space="preserve"> a 13–15% average error</w:t>
      </w:r>
      <w:r w:rsidRPr="00001031">
        <w:t xml:space="preserve"> in congested conditions</w:t>
      </w:r>
      <w:r w:rsidR="00A461D6" w:rsidRPr="00001031">
        <w:t>.</w:t>
      </w:r>
      <w:r w:rsidRPr="00001031">
        <w:t xml:space="preserve"> This is slightly higher than the best models used or tested</w:t>
      </w:r>
      <w:r w:rsidR="00E44BA4">
        <w:t xml:space="preserve"> to date</w:t>
      </w:r>
      <w:r w:rsidRPr="00001031">
        <w:t>.</w:t>
      </w:r>
      <w:r w:rsidR="00A461D6" w:rsidRPr="00001031">
        <w:t xml:space="preserve"> However, a clear benefit of the </w:t>
      </w:r>
      <w:proofErr w:type="spellStart"/>
      <w:r w:rsidR="00A461D6" w:rsidRPr="00001031">
        <w:t>dynRP</w:t>
      </w:r>
      <w:proofErr w:type="spellEnd"/>
      <w:r w:rsidR="00A461D6" w:rsidRPr="00001031">
        <w:t xml:space="preserve"> model is that it can be fully automated without the need for neural network estimation</w:t>
      </w:r>
      <w:r w:rsidRPr="00001031">
        <w:t xml:space="preserve"> or other special methods or</w:t>
      </w:r>
      <w:r w:rsidR="00A461D6" w:rsidRPr="00001031">
        <w:t xml:space="preserve"> manual work. If </w:t>
      </w:r>
      <w:r w:rsidR="007F3F6A" w:rsidRPr="00001031">
        <w:t>more accuracy</w:t>
      </w:r>
      <w:r w:rsidR="00A461D6" w:rsidRPr="00001031">
        <w:t xml:space="preserve"> is </w:t>
      </w:r>
      <w:r w:rsidRPr="00001031">
        <w:t>desired</w:t>
      </w:r>
      <w:r w:rsidR="00A461D6" w:rsidRPr="00001031">
        <w:t>, a self-adapting model</w:t>
      </w:r>
      <w:r w:rsidRPr="00001031">
        <w:t xml:space="preserve"> should be implemented</w:t>
      </w:r>
      <w:r w:rsidR="00A461D6" w:rsidRPr="00001031">
        <w:t xml:space="preserve">. </w:t>
      </w:r>
      <w:r w:rsidR="00E44BA4">
        <w:t>This would need</w:t>
      </w:r>
      <w:r w:rsidR="00A461D6" w:rsidRPr="00001031">
        <w:t xml:space="preserve"> set</w:t>
      </w:r>
      <w:r w:rsidR="00E44BA4">
        <w:t>ting</w:t>
      </w:r>
      <w:r w:rsidR="00A461D6" w:rsidRPr="00001031">
        <w:t xml:space="preserve"> up manually for each link, </w:t>
      </w:r>
      <w:r w:rsidRPr="00001031">
        <w:t>but there is less</w:t>
      </w:r>
      <w:r w:rsidR="00A461D6" w:rsidRPr="00001031">
        <w:t xml:space="preserve"> need for manual updating as the model adapts itself. </w:t>
      </w:r>
      <w:r w:rsidR="00E44BA4">
        <w:t>This has been</w:t>
      </w:r>
      <w:r w:rsidR="00A461D6" w:rsidRPr="00001031">
        <w:t xml:space="preserve"> successfully piloted on Ring I (Innamaa 2009). The model ran for years at the traffic management centre of the Finnish Transport Agency.</w:t>
      </w:r>
    </w:p>
    <w:p w:rsidR="00124FD2" w:rsidRPr="00001031" w:rsidRDefault="00124FD2" w:rsidP="00124FD2">
      <w:pPr>
        <w:pStyle w:val="Text"/>
      </w:pPr>
      <w:r w:rsidRPr="00001031">
        <w:t xml:space="preserve">On road sections where the annual median is equal to the free flow travel time, the forecast would in practice be equal to the latest measurement, even if a historic </w:t>
      </w:r>
      <w:r w:rsidR="00E44BA4" w:rsidRPr="00001031">
        <w:t>median</w:t>
      </w:r>
      <w:r w:rsidR="00E44BA4">
        <w:t>-</w:t>
      </w:r>
      <w:r w:rsidRPr="00001031">
        <w:t>based forecast were used. Thus, the decision concerns only roads where the travel time increases frequently.</w:t>
      </w:r>
    </w:p>
    <w:p w:rsidR="006A2C00" w:rsidRPr="00001031" w:rsidRDefault="006A2C00" w:rsidP="00A461D6">
      <w:pPr>
        <w:pStyle w:val="Text"/>
      </w:pPr>
      <w:r w:rsidRPr="00001031">
        <w:t xml:space="preserve">The </w:t>
      </w:r>
      <w:proofErr w:type="spellStart"/>
      <w:r w:rsidRPr="00001031">
        <w:t>Rijkswaterstaat</w:t>
      </w:r>
      <w:proofErr w:type="spellEnd"/>
      <w:r w:rsidRPr="00001031">
        <w:t xml:space="preserve"> Traffic Management Centre had several procedures that can be considered best practice in incident risk assessment and management. It is recommended that a procedure </w:t>
      </w:r>
      <w:r w:rsidR="00E44BA4">
        <w:t xml:space="preserve">be set up </w:t>
      </w:r>
      <w:r w:rsidRPr="00001031">
        <w:t xml:space="preserve">to systematically collect and use information on events (e.g. sports events, music festivals, road works) that affect traffic. Once a month the annual traffic forecast should be updated indicating the timing and location of such events and their foreseen impact on local traffic. </w:t>
      </w:r>
      <w:r w:rsidR="007F3F6A" w:rsidRPr="00001031">
        <w:t>T</w:t>
      </w:r>
      <w:r w:rsidRPr="00001031">
        <w:t xml:space="preserve">hese annual forecasts </w:t>
      </w:r>
      <w:r w:rsidR="007F3F6A" w:rsidRPr="00001031">
        <w:t xml:space="preserve">should </w:t>
      </w:r>
      <w:r w:rsidRPr="00001031">
        <w:t xml:space="preserve">be studied in a </w:t>
      </w:r>
      <w:r w:rsidR="007F3F6A" w:rsidRPr="00001031">
        <w:t xml:space="preserve">weekly </w:t>
      </w:r>
      <w:r w:rsidRPr="00001031">
        <w:t xml:space="preserve">meeting to identify abnormalities of traffic during the coming week and to find solutions for (proactively) operating the traffic in such conditions. In the meetings, the success of the previous week’s operation should be evaluated </w:t>
      </w:r>
      <w:r w:rsidR="007F3F6A" w:rsidRPr="00001031">
        <w:t>for future improvement</w:t>
      </w:r>
      <w:r w:rsidRPr="00001031">
        <w:t xml:space="preserve">. The annual traffic forecast can also be used in planning </w:t>
      </w:r>
      <w:r w:rsidR="002B7D59" w:rsidRPr="00001031">
        <w:t xml:space="preserve">the </w:t>
      </w:r>
      <w:r w:rsidRPr="00001031">
        <w:t>timing of road works.</w:t>
      </w:r>
    </w:p>
    <w:p w:rsidR="00965FCB" w:rsidRPr="00001031" w:rsidRDefault="00965FCB" w:rsidP="0042147D">
      <w:pPr>
        <w:pStyle w:val="Heading1"/>
        <w:keepNext/>
        <w:ind w:left="284" w:hanging="284"/>
      </w:pPr>
      <w:r w:rsidRPr="00001031">
        <w:lastRenderedPageBreak/>
        <w:t>Acknowledgements</w:t>
      </w:r>
      <w:bookmarkStart w:id="8" w:name="_GoBack"/>
      <w:bookmarkEnd w:id="8"/>
    </w:p>
    <w:p w:rsidR="006A2C00" w:rsidRPr="00001031" w:rsidRDefault="00C64C30" w:rsidP="0068012F">
      <w:pPr>
        <w:pStyle w:val="Text"/>
      </w:pPr>
      <w:r w:rsidRPr="00001031">
        <w:t xml:space="preserve">We would like to thank </w:t>
      </w:r>
      <w:r w:rsidR="00645947" w:rsidRPr="00001031">
        <w:t xml:space="preserve">the </w:t>
      </w:r>
      <w:r w:rsidRPr="00001031">
        <w:t xml:space="preserve">Finnish Transport Agency for providing us with an interesting topic to study and for funding the research. We would </w:t>
      </w:r>
      <w:r w:rsidR="00645947" w:rsidRPr="00001031">
        <w:t xml:space="preserve">also </w:t>
      </w:r>
      <w:r w:rsidRPr="00001031">
        <w:t xml:space="preserve">like to thank </w:t>
      </w:r>
      <w:r w:rsidR="00645947" w:rsidRPr="00001031">
        <w:t xml:space="preserve">the </w:t>
      </w:r>
      <w:r w:rsidR="006A2C00" w:rsidRPr="00001031">
        <w:t>Danish Road Directorate</w:t>
      </w:r>
      <w:r w:rsidRPr="00001031">
        <w:t xml:space="preserve"> and </w:t>
      </w:r>
      <w:r w:rsidR="00645947" w:rsidRPr="00001031">
        <w:t xml:space="preserve">the Dutch </w:t>
      </w:r>
      <w:proofErr w:type="spellStart"/>
      <w:r w:rsidR="006A2C00" w:rsidRPr="00001031">
        <w:t>Rijkswaterstaat</w:t>
      </w:r>
      <w:proofErr w:type="spellEnd"/>
      <w:r w:rsidRPr="00001031">
        <w:t xml:space="preserve"> for providing us information on their best </w:t>
      </w:r>
      <w:r w:rsidR="0076301A" w:rsidRPr="00001031">
        <w:t>practi</w:t>
      </w:r>
      <w:r w:rsidR="0076301A">
        <w:t>c</w:t>
      </w:r>
      <w:r w:rsidR="0076301A" w:rsidRPr="00001031">
        <w:t>es</w:t>
      </w:r>
      <w:r w:rsidRPr="00001031">
        <w:t>.</w:t>
      </w:r>
    </w:p>
    <w:p w:rsidR="00965FCB" w:rsidRPr="00001031" w:rsidRDefault="00965FCB" w:rsidP="00965FCB">
      <w:pPr>
        <w:pStyle w:val="Heading1"/>
        <w:numPr>
          <w:ilvl w:val="0"/>
          <w:numId w:val="0"/>
        </w:numPr>
        <w:ind w:left="-567" w:firstLine="567"/>
      </w:pPr>
      <w:r w:rsidRPr="00001031">
        <w:t>References</w:t>
      </w:r>
    </w:p>
    <w:p w:rsidR="0066789F" w:rsidRPr="00001031" w:rsidRDefault="0066789F" w:rsidP="0068012F">
      <w:pPr>
        <w:pStyle w:val="Text"/>
      </w:pPr>
      <w:proofErr w:type="gramStart"/>
      <w:r w:rsidRPr="00001031">
        <w:t>van</w:t>
      </w:r>
      <w:proofErr w:type="gramEnd"/>
      <w:r w:rsidRPr="00001031">
        <w:t xml:space="preserve"> den Berg JM, van Wijngaarden B (2013). </w:t>
      </w:r>
      <w:proofErr w:type="gramStart"/>
      <w:r w:rsidRPr="00001031">
        <w:t xml:space="preserve">Interview of operational traffic team leader Jan Maarten van den Berg and road office leader Bart van Wijngaarden of </w:t>
      </w:r>
      <w:proofErr w:type="spellStart"/>
      <w:r w:rsidRPr="00001031">
        <w:t>Rijkswaterstaat</w:t>
      </w:r>
      <w:proofErr w:type="spellEnd"/>
      <w:r w:rsidRPr="00001031">
        <w:t xml:space="preserve"> TMC in Utrecht, the Netherlands.</w:t>
      </w:r>
      <w:proofErr w:type="gramEnd"/>
      <w:r w:rsidRPr="00001031">
        <w:t xml:space="preserve"> February 5, 2013.</w:t>
      </w:r>
    </w:p>
    <w:p w:rsidR="0066789F" w:rsidRPr="00001031" w:rsidRDefault="0066789F" w:rsidP="0068012F">
      <w:pPr>
        <w:pStyle w:val="Text"/>
      </w:pPr>
      <w:r w:rsidRPr="00001031">
        <w:t xml:space="preserve">Danish Road Directorate (no date). </w:t>
      </w:r>
      <w:proofErr w:type="spellStart"/>
      <w:proofErr w:type="gramStart"/>
      <w:r w:rsidRPr="00001031">
        <w:t>dynRP</w:t>
      </w:r>
      <w:proofErr w:type="spellEnd"/>
      <w:proofErr w:type="gramEnd"/>
      <w:r w:rsidRPr="00001031">
        <w:t xml:space="preserve"> – </w:t>
      </w:r>
      <w:proofErr w:type="spellStart"/>
      <w:r w:rsidRPr="00001031">
        <w:t>rejsetidsprognose</w:t>
      </w:r>
      <w:proofErr w:type="spellEnd"/>
      <w:r w:rsidRPr="00001031">
        <w:t>. Notes. 5 p.</w:t>
      </w:r>
    </w:p>
    <w:p w:rsidR="0066789F" w:rsidRPr="00001031" w:rsidRDefault="0066789F" w:rsidP="0068012F">
      <w:pPr>
        <w:pStyle w:val="Text"/>
      </w:pPr>
      <w:r w:rsidRPr="00001031">
        <w:t xml:space="preserve">Innamaa S (2009). </w:t>
      </w:r>
      <w:proofErr w:type="gramStart"/>
      <w:r w:rsidRPr="00001031">
        <w:t>Short-term prediction of traffic flow</w:t>
      </w:r>
      <w:r w:rsidR="00645947" w:rsidRPr="00001031">
        <w:t xml:space="preserve"> status for online driver infor</w:t>
      </w:r>
      <w:r w:rsidRPr="00001031">
        <w:t>mation.</w:t>
      </w:r>
      <w:proofErr w:type="gramEnd"/>
      <w:r w:rsidRPr="00001031">
        <w:t xml:space="preserve"> Doctoral dissertation. VTT Publication 708, VTT Technical Research Centre of Finland, Espoo. </w:t>
      </w:r>
      <w:proofErr w:type="gramStart"/>
      <w:r w:rsidRPr="00001031">
        <w:t>79 + 90 p.</w:t>
      </w:r>
      <w:proofErr w:type="gramEnd"/>
    </w:p>
    <w:p w:rsidR="003474E4" w:rsidRPr="00001031" w:rsidRDefault="00C66C7B" w:rsidP="0068012F">
      <w:pPr>
        <w:pStyle w:val="Text"/>
      </w:pPr>
      <w:proofErr w:type="gramStart"/>
      <w:r w:rsidRPr="00001031">
        <w:t>Innamaa, S., Pilli-Sihvola, E. and Norros, I. (2013).</w:t>
      </w:r>
      <w:proofErr w:type="gramEnd"/>
      <w:r w:rsidRPr="00001031">
        <w:t xml:space="preserve"> Travel time and incident risk assessment. </w:t>
      </w:r>
      <w:proofErr w:type="gramStart"/>
      <w:r w:rsidRPr="00001031">
        <w:t>Research Reports of the Finnish Transport Agency 31/2013 (http://www2.liikennevirasto.fi/julkaisut/pdf3/lts_2013-31_travel_time_web.pdf).</w:t>
      </w:r>
      <w:proofErr w:type="gramEnd"/>
      <w:r w:rsidRPr="00001031">
        <w:t xml:space="preserve"> Finnish Transport Agency, Helsinki. 92 p.</w:t>
      </w:r>
    </w:p>
    <w:p w:rsidR="005F2D2B" w:rsidRPr="00001031" w:rsidRDefault="005F2D2B" w:rsidP="0068012F">
      <w:pPr>
        <w:pStyle w:val="Text"/>
      </w:pPr>
      <w:proofErr w:type="spellStart"/>
      <w:r w:rsidRPr="00001031">
        <w:t>Kamga</w:t>
      </w:r>
      <w:proofErr w:type="spellEnd"/>
      <w:r w:rsidRPr="00001031">
        <w:t xml:space="preserve"> CN, </w:t>
      </w:r>
      <w:proofErr w:type="spellStart"/>
      <w:r w:rsidRPr="00001031">
        <w:t>Mouskos</w:t>
      </w:r>
      <w:proofErr w:type="spellEnd"/>
      <w:r w:rsidRPr="00001031">
        <w:t xml:space="preserve"> KC, </w:t>
      </w:r>
      <w:proofErr w:type="spellStart"/>
      <w:r w:rsidRPr="00001031">
        <w:t>Paaswell</w:t>
      </w:r>
      <w:proofErr w:type="spellEnd"/>
      <w:r w:rsidRPr="00001031">
        <w:t xml:space="preserve"> RE (2011). A methodology to estimate travel time using dynamic traffic assignment (DTA) under incident conditions. Transportation Research Part C. 2011</w:t>
      </w:r>
      <w:proofErr w:type="gramStart"/>
      <w:r w:rsidRPr="00001031">
        <w:t>;19:1215</w:t>
      </w:r>
      <w:proofErr w:type="gramEnd"/>
      <w:r w:rsidRPr="00001031">
        <w:t>-1224.</w:t>
      </w:r>
    </w:p>
    <w:p w:rsidR="00C200F4" w:rsidRPr="00001031" w:rsidRDefault="00C200F4" w:rsidP="0068012F">
      <w:pPr>
        <w:pStyle w:val="Text"/>
      </w:pPr>
      <w:proofErr w:type="spellStart"/>
      <w:r w:rsidRPr="00001031">
        <w:t>Khattak</w:t>
      </w:r>
      <w:proofErr w:type="spellEnd"/>
      <w:r w:rsidRPr="00001031">
        <w:t xml:space="preserve"> A, Wang X, Zhang H (2012). Incident management integration tool: dynamically predicting incident durations, secondary incident occurrence and incident delays. </w:t>
      </w:r>
      <w:proofErr w:type="gramStart"/>
      <w:r w:rsidRPr="00001031">
        <w:t>IET INTELLIGENT TRANSPORT SYSTEMS.</w:t>
      </w:r>
      <w:proofErr w:type="gramEnd"/>
      <w:r w:rsidRPr="00001031">
        <w:t xml:space="preserve"> 2012</w:t>
      </w:r>
      <w:proofErr w:type="gramStart"/>
      <w:r w:rsidRPr="00001031">
        <w:t>;6:204</w:t>
      </w:r>
      <w:proofErr w:type="gramEnd"/>
      <w:r w:rsidRPr="00001031">
        <w:t>–214.</w:t>
      </w:r>
    </w:p>
    <w:p w:rsidR="00C200F4" w:rsidRPr="00001031" w:rsidRDefault="00C200F4" w:rsidP="0068012F">
      <w:pPr>
        <w:pStyle w:val="Text"/>
      </w:pPr>
      <w:proofErr w:type="spellStart"/>
      <w:r w:rsidRPr="00001031">
        <w:t>Vlahogianni</w:t>
      </w:r>
      <w:proofErr w:type="spellEnd"/>
      <w:r w:rsidRPr="00001031">
        <w:t xml:space="preserve"> E, </w:t>
      </w:r>
      <w:proofErr w:type="spellStart"/>
      <w:r w:rsidRPr="00001031">
        <w:t>Karlaftis</w:t>
      </w:r>
      <w:proofErr w:type="spellEnd"/>
      <w:r w:rsidRPr="00001031">
        <w:t xml:space="preserve"> M, </w:t>
      </w:r>
      <w:proofErr w:type="spellStart"/>
      <w:r w:rsidRPr="00001031">
        <w:t>Orfanou</w:t>
      </w:r>
      <w:proofErr w:type="spellEnd"/>
      <w:r w:rsidRPr="00001031">
        <w:t xml:space="preserve"> F (2012). </w:t>
      </w:r>
      <w:proofErr w:type="spellStart"/>
      <w:r w:rsidRPr="00001031">
        <w:t>Modeling</w:t>
      </w:r>
      <w:proofErr w:type="spellEnd"/>
      <w:r w:rsidRPr="00001031">
        <w:t xml:space="preserve"> the Effects of Weather and Traffic on the Risk of Secondary Incidents. </w:t>
      </w:r>
      <w:proofErr w:type="gramStart"/>
      <w:r w:rsidRPr="00001031">
        <w:t>JOURNAL OF INTELLIGENT TRANSPORTATION SYSTEMS.</w:t>
      </w:r>
      <w:proofErr w:type="gramEnd"/>
      <w:r w:rsidRPr="00001031">
        <w:t xml:space="preserve"> 2012</w:t>
      </w:r>
      <w:proofErr w:type="gramStart"/>
      <w:r w:rsidRPr="00001031">
        <w:t>;16:109</w:t>
      </w:r>
      <w:proofErr w:type="gramEnd"/>
      <w:r w:rsidRPr="00001031">
        <w:t>–117.</w:t>
      </w:r>
    </w:p>
    <w:sectPr w:rsidR="00C200F4" w:rsidRPr="00001031" w:rsidSect="00B40089">
      <w:headerReference w:type="default" r:id="rId10"/>
      <w:footerReference w:type="default" r:id="rId11"/>
      <w:type w:val="oddPage"/>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728" w:rsidRDefault="00573728" w:rsidP="005A55EB">
      <w:r>
        <w:separator/>
      </w:r>
    </w:p>
  </w:endnote>
  <w:endnote w:type="continuationSeparator" w:id="0">
    <w:p w:rsidR="00573728" w:rsidRDefault="00573728" w:rsidP="005A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Felbridge Pro">
    <w:altName w:val="Felbridge St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BA4" w:rsidRPr="005A55EB" w:rsidRDefault="00E44BA4" w:rsidP="005A55EB">
    <w:pPr>
      <w:pStyle w:val="copyright"/>
    </w:pPr>
    <w:r w:rsidRPr="005A55EB">
      <w:t>© AET 2013 and contributors</w:t>
    </w:r>
  </w:p>
  <w:p w:rsidR="00E44BA4" w:rsidRPr="005A55EB" w:rsidRDefault="00E44BA4" w:rsidP="005A55EB">
    <w:pPr>
      <w:pStyle w:val="PageNumber1"/>
    </w:pPr>
    <w:r w:rsidRPr="005A55EB">
      <w:fldChar w:fldCharType="begin"/>
    </w:r>
    <w:r w:rsidRPr="005A55EB">
      <w:instrText xml:space="preserve"> PAGE   \* MERGEFORMAT </w:instrText>
    </w:r>
    <w:r w:rsidRPr="005A55EB">
      <w:fldChar w:fldCharType="separate"/>
    </w:r>
    <w:r w:rsidR="0042147D">
      <w:rPr>
        <w:noProof/>
      </w:rPr>
      <w:t>11</w:t>
    </w:r>
    <w:r w:rsidRPr="005A55E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728" w:rsidRDefault="00573728" w:rsidP="005A55EB">
      <w:r>
        <w:separator/>
      </w:r>
    </w:p>
  </w:footnote>
  <w:footnote w:type="continuationSeparator" w:id="0">
    <w:p w:rsidR="00573728" w:rsidRDefault="00573728" w:rsidP="005A5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BA4" w:rsidRDefault="00E44BA4">
    <w:pPr>
      <w:pStyle w:val="Header"/>
    </w:pPr>
    <w:r>
      <w:rPr>
        <w:noProof/>
        <w:lang w:eastAsia="en-GB"/>
      </w:rPr>
      <w:drawing>
        <wp:anchor distT="0" distB="0" distL="114300" distR="114300" simplePos="0" relativeHeight="251659264" behindDoc="0" locked="0" layoutInCell="1" allowOverlap="1" wp14:anchorId="7E30D96D" wp14:editId="3312251B">
          <wp:simplePos x="0" y="0"/>
          <wp:positionH relativeFrom="column">
            <wp:posOffset>1905</wp:posOffset>
          </wp:positionH>
          <wp:positionV relativeFrom="paragraph">
            <wp:posOffset>-311670</wp:posOffset>
          </wp:positionV>
          <wp:extent cx="505691" cy="63644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tLogoCurrent.gif"/>
                  <pic:cNvPicPr/>
                </pic:nvPicPr>
                <pic:blipFill rotWithShape="1">
                  <a:blip r:embed="rId1" cstate="print">
                    <a:extLst>
                      <a:ext uri="{28A0092B-C50C-407E-A947-70E740481C1C}">
                        <a14:useLocalDpi xmlns:a14="http://schemas.microsoft.com/office/drawing/2010/main"/>
                      </a:ext>
                    </a:extLst>
                  </a:blip>
                  <a:srcRect t="17136"/>
                  <a:stretch/>
                </pic:blipFill>
                <pic:spPr bwMode="auto">
                  <a:xfrm>
                    <a:off x="0" y="0"/>
                    <a:ext cx="505460" cy="6361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5A26560C" wp14:editId="0BBFF104">
          <wp:simplePos x="0" y="0"/>
          <wp:positionH relativeFrom="column">
            <wp:posOffset>3727508</wp:posOffset>
          </wp:positionH>
          <wp:positionV relativeFrom="paragraph">
            <wp:posOffset>-208280</wp:posOffset>
          </wp:positionV>
          <wp:extent cx="1478280" cy="49530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ETC logo RGB for screen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8280"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10805"/>
    <w:multiLevelType w:val="hybridMultilevel"/>
    <w:tmpl w:val="99863D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686166C"/>
    <w:multiLevelType w:val="multilevel"/>
    <w:tmpl w:val="495CAD1E"/>
    <w:lvl w:ilvl="0">
      <w:start w:val="1"/>
      <w:numFmt w:val="decimal"/>
      <w:pStyle w:val="Heading1"/>
      <w:lvlText w:val="%1."/>
      <w:lvlJc w:val="left"/>
      <w:pPr>
        <w:ind w:left="283" w:hanging="283"/>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2F1746A5"/>
    <w:multiLevelType w:val="hybridMultilevel"/>
    <w:tmpl w:val="C8FC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E7042F"/>
    <w:multiLevelType w:val="multilevel"/>
    <w:tmpl w:val="BE8CB16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8055BED"/>
    <w:multiLevelType w:val="hybridMultilevel"/>
    <w:tmpl w:val="B59CA7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15B70D1"/>
    <w:multiLevelType w:val="hybridMultilevel"/>
    <w:tmpl w:val="61EAE6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43DB79C7"/>
    <w:multiLevelType w:val="hybridMultilevel"/>
    <w:tmpl w:val="0E72812E"/>
    <w:lvl w:ilvl="0" w:tplc="596AAD86">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4D254EBB"/>
    <w:multiLevelType w:val="hybridMultilevel"/>
    <w:tmpl w:val="8C1C7D64"/>
    <w:lvl w:ilvl="0" w:tplc="6F80F49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203052"/>
    <w:multiLevelType w:val="hybridMultilevel"/>
    <w:tmpl w:val="CE982DD6"/>
    <w:lvl w:ilvl="0" w:tplc="7D386CD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0376B93"/>
    <w:multiLevelType w:val="hybridMultilevel"/>
    <w:tmpl w:val="55BEA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4AD0871"/>
    <w:multiLevelType w:val="multilevel"/>
    <w:tmpl w:val="F29CD8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A0047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91E3E95"/>
    <w:multiLevelType w:val="hybridMultilevel"/>
    <w:tmpl w:val="13D6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11"/>
  </w:num>
  <w:num w:numId="5">
    <w:abstractNumId w:val="4"/>
  </w:num>
  <w:num w:numId="6">
    <w:abstractNumId w:val="0"/>
  </w:num>
  <w:num w:numId="7">
    <w:abstractNumId w:val="3"/>
  </w:num>
  <w:num w:numId="8">
    <w:abstractNumId w:val="2"/>
  </w:num>
  <w:num w:numId="9">
    <w:abstractNumId w:val="6"/>
  </w:num>
  <w:num w:numId="10">
    <w:abstractNumId w:val="9"/>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3"/>
  </w:num>
  <w:num w:numId="21">
    <w:abstractNumId w:val="3"/>
  </w:num>
  <w:num w:numId="22">
    <w:abstractNumId w:val="3"/>
  </w:num>
  <w:num w:numId="23">
    <w:abstractNumId w:val="3"/>
  </w:num>
  <w:num w:numId="24">
    <w:abstractNumId w:val="10"/>
  </w:num>
  <w:num w:numId="25">
    <w:abstractNumId w:val="3"/>
  </w:num>
  <w:num w:numId="26">
    <w:abstractNumId w:val="3"/>
  </w:num>
  <w:num w:numId="27">
    <w:abstractNumId w:val="3"/>
  </w:num>
  <w:num w:numId="28">
    <w:abstractNumId w:val="3"/>
  </w:num>
  <w:num w:numId="29">
    <w:abstractNumId w:val="1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9F"/>
    <w:rsid w:val="00001031"/>
    <w:rsid w:val="0004345B"/>
    <w:rsid w:val="000E5101"/>
    <w:rsid w:val="0010294F"/>
    <w:rsid w:val="00124F86"/>
    <w:rsid w:val="00124FD2"/>
    <w:rsid w:val="0025329D"/>
    <w:rsid w:val="002B7D59"/>
    <w:rsid w:val="00307922"/>
    <w:rsid w:val="00343D39"/>
    <w:rsid w:val="0034496A"/>
    <w:rsid w:val="003474E4"/>
    <w:rsid w:val="003B0EB1"/>
    <w:rsid w:val="003B195B"/>
    <w:rsid w:val="003B23C6"/>
    <w:rsid w:val="003B64DF"/>
    <w:rsid w:val="0042147D"/>
    <w:rsid w:val="00427B9E"/>
    <w:rsid w:val="00475F06"/>
    <w:rsid w:val="00493E17"/>
    <w:rsid w:val="004B3E7E"/>
    <w:rsid w:val="004C29FA"/>
    <w:rsid w:val="00510862"/>
    <w:rsid w:val="005133B6"/>
    <w:rsid w:val="00521772"/>
    <w:rsid w:val="005355D0"/>
    <w:rsid w:val="00573728"/>
    <w:rsid w:val="00581153"/>
    <w:rsid w:val="00593746"/>
    <w:rsid w:val="005A55EB"/>
    <w:rsid w:val="005C3C85"/>
    <w:rsid w:val="005E1524"/>
    <w:rsid w:val="005F2D2B"/>
    <w:rsid w:val="006256BE"/>
    <w:rsid w:val="00645947"/>
    <w:rsid w:val="00661C11"/>
    <w:rsid w:val="0066789F"/>
    <w:rsid w:val="0068012F"/>
    <w:rsid w:val="00682C87"/>
    <w:rsid w:val="006861BD"/>
    <w:rsid w:val="00696EE6"/>
    <w:rsid w:val="006A2073"/>
    <w:rsid w:val="006A2C00"/>
    <w:rsid w:val="006C43C6"/>
    <w:rsid w:val="006D2238"/>
    <w:rsid w:val="0072746C"/>
    <w:rsid w:val="007515B2"/>
    <w:rsid w:val="0076301A"/>
    <w:rsid w:val="007651EE"/>
    <w:rsid w:val="007B1B9E"/>
    <w:rsid w:val="007B35E8"/>
    <w:rsid w:val="007D2175"/>
    <w:rsid w:val="007E0227"/>
    <w:rsid w:val="007E6259"/>
    <w:rsid w:val="007F3F6A"/>
    <w:rsid w:val="00811DAB"/>
    <w:rsid w:val="00822096"/>
    <w:rsid w:val="00845393"/>
    <w:rsid w:val="00854D38"/>
    <w:rsid w:val="0085558C"/>
    <w:rsid w:val="008731CC"/>
    <w:rsid w:val="008F43F0"/>
    <w:rsid w:val="00902454"/>
    <w:rsid w:val="00904E66"/>
    <w:rsid w:val="00911121"/>
    <w:rsid w:val="009225CA"/>
    <w:rsid w:val="00936C3E"/>
    <w:rsid w:val="00965FCB"/>
    <w:rsid w:val="00981C2C"/>
    <w:rsid w:val="009F2428"/>
    <w:rsid w:val="00A00931"/>
    <w:rsid w:val="00A36454"/>
    <w:rsid w:val="00A461D6"/>
    <w:rsid w:val="00A625B7"/>
    <w:rsid w:val="00AB190F"/>
    <w:rsid w:val="00AF3558"/>
    <w:rsid w:val="00B40089"/>
    <w:rsid w:val="00B519E2"/>
    <w:rsid w:val="00B53366"/>
    <w:rsid w:val="00B97497"/>
    <w:rsid w:val="00BA6DD1"/>
    <w:rsid w:val="00C200F4"/>
    <w:rsid w:val="00C2679F"/>
    <w:rsid w:val="00C320F8"/>
    <w:rsid w:val="00C64C30"/>
    <w:rsid w:val="00C66C7B"/>
    <w:rsid w:val="00CB62F3"/>
    <w:rsid w:val="00D12720"/>
    <w:rsid w:val="00D470F0"/>
    <w:rsid w:val="00DA26BB"/>
    <w:rsid w:val="00DB530F"/>
    <w:rsid w:val="00DC5DA3"/>
    <w:rsid w:val="00E44BA4"/>
    <w:rsid w:val="00E5488D"/>
    <w:rsid w:val="00E737CE"/>
    <w:rsid w:val="00E95598"/>
    <w:rsid w:val="00ED1763"/>
    <w:rsid w:val="00F21E5C"/>
    <w:rsid w:val="00F5427E"/>
    <w:rsid w:val="00F634E5"/>
    <w:rsid w:val="00F71E72"/>
    <w:rsid w:val="00FF7D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2679F"/>
    <w:pPr>
      <w:spacing w:after="0" w:line="240" w:lineRule="auto"/>
    </w:pPr>
    <w:rPr>
      <w:rFonts w:ascii="Arial" w:eastAsia="Times New Roman" w:hAnsi="Arial" w:cs="Arial"/>
      <w:sz w:val="20"/>
      <w:szCs w:val="24"/>
    </w:rPr>
  </w:style>
  <w:style w:type="paragraph" w:styleId="Heading1">
    <w:name w:val="heading 1"/>
    <w:basedOn w:val="Normal"/>
    <w:next w:val="Normal"/>
    <w:link w:val="Heading1Char"/>
    <w:uiPriority w:val="9"/>
    <w:qFormat/>
    <w:rsid w:val="0068012F"/>
    <w:pPr>
      <w:numPr>
        <w:numId w:val="1"/>
      </w:numPr>
      <w:spacing w:before="240" w:after="240"/>
      <w:jc w:val="both"/>
      <w:outlineLvl w:val="0"/>
    </w:pPr>
    <w:rPr>
      <w:b/>
      <w:caps/>
      <w:sz w:val="24"/>
    </w:rPr>
  </w:style>
  <w:style w:type="paragraph" w:styleId="Heading2">
    <w:name w:val="heading 2"/>
    <w:basedOn w:val="Heading1"/>
    <w:next w:val="Normal"/>
    <w:link w:val="Heading2Char"/>
    <w:uiPriority w:val="9"/>
    <w:unhideWhenUsed/>
    <w:qFormat/>
    <w:rsid w:val="0068012F"/>
    <w:pPr>
      <w:numPr>
        <w:ilvl w:val="1"/>
        <w:numId w:val="7"/>
      </w:numPr>
      <w:outlineLvl w:val="1"/>
    </w:pPr>
    <w:rPr>
      <w:caps w:val="0"/>
    </w:rPr>
  </w:style>
  <w:style w:type="paragraph" w:styleId="Heading3">
    <w:name w:val="heading 3"/>
    <w:basedOn w:val="Normal"/>
    <w:next w:val="Normal"/>
    <w:link w:val="Heading3Char"/>
    <w:uiPriority w:val="9"/>
    <w:unhideWhenUsed/>
    <w:rsid w:val="00A461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dcentaur1">
    <w:name w:val="Redcentaur1"/>
    <w:basedOn w:val="TableNormal"/>
    <w:uiPriority w:val="99"/>
    <w:rsid w:val="00E95598"/>
    <w:pPr>
      <w:spacing w:after="0" w:line="240" w:lineRule="auto"/>
    </w:pPr>
    <w:tblPr>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2679F"/>
    <w:rPr>
      <w:sz w:val="16"/>
      <w:szCs w:val="16"/>
    </w:rPr>
  </w:style>
  <w:style w:type="paragraph" w:styleId="CommentText">
    <w:name w:val="annotation text"/>
    <w:basedOn w:val="Normal"/>
    <w:link w:val="CommentTextChar"/>
    <w:uiPriority w:val="99"/>
    <w:semiHidden/>
    <w:unhideWhenUsed/>
    <w:rsid w:val="00C2679F"/>
    <w:rPr>
      <w:szCs w:val="20"/>
    </w:rPr>
  </w:style>
  <w:style w:type="character" w:customStyle="1" w:styleId="CommentTextChar">
    <w:name w:val="Comment Text Char"/>
    <w:basedOn w:val="DefaultParagraphFont"/>
    <w:link w:val="CommentText"/>
    <w:uiPriority w:val="99"/>
    <w:semiHidden/>
    <w:rsid w:val="00C2679F"/>
    <w:rPr>
      <w:rFonts w:ascii="Arial" w:eastAsia="Times New Roman" w:hAnsi="Arial" w:cs="Arial"/>
      <w:sz w:val="20"/>
      <w:szCs w:val="20"/>
    </w:rPr>
  </w:style>
  <w:style w:type="paragraph" w:styleId="BalloonText">
    <w:name w:val="Balloon Text"/>
    <w:basedOn w:val="Normal"/>
    <w:link w:val="BalloonTextChar"/>
    <w:uiPriority w:val="99"/>
    <w:semiHidden/>
    <w:unhideWhenUsed/>
    <w:rsid w:val="00C2679F"/>
    <w:rPr>
      <w:rFonts w:ascii="Tahoma" w:hAnsi="Tahoma" w:cs="Tahoma"/>
      <w:sz w:val="16"/>
      <w:szCs w:val="16"/>
    </w:rPr>
  </w:style>
  <w:style w:type="character" w:customStyle="1" w:styleId="BalloonTextChar">
    <w:name w:val="Balloon Text Char"/>
    <w:basedOn w:val="DefaultParagraphFont"/>
    <w:link w:val="BalloonText"/>
    <w:uiPriority w:val="99"/>
    <w:semiHidden/>
    <w:rsid w:val="00C2679F"/>
    <w:rPr>
      <w:rFonts w:ascii="Tahoma" w:eastAsia="Times New Roman" w:hAnsi="Tahoma" w:cs="Tahoma"/>
      <w:sz w:val="16"/>
      <w:szCs w:val="16"/>
    </w:rPr>
  </w:style>
  <w:style w:type="paragraph" w:styleId="Title">
    <w:name w:val="Title"/>
    <w:basedOn w:val="Normal"/>
    <w:next w:val="Normal"/>
    <w:link w:val="TitleChar"/>
    <w:uiPriority w:val="10"/>
    <w:qFormat/>
    <w:rsid w:val="00C2679F"/>
    <w:pPr>
      <w:spacing w:after="240"/>
      <w:jc w:val="center"/>
    </w:pPr>
    <w:rPr>
      <w:b/>
      <w:caps/>
      <w:sz w:val="24"/>
      <w:szCs w:val="22"/>
    </w:rPr>
  </w:style>
  <w:style w:type="character" w:customStyle="1" w:styleId="TitleChar">
    <w:name w:val="Title Char"/>
    <w:basedOn w:val="DefaultParagraphFont"/>
    <w:link w:val="Title"/>
    <w:uiPriority w:val="10"/>
    <w:rsid w:val="00C2679F"/>
    <w:rPr>
      <w:rFonts w:ascii="Arial" w:eastAsia="Times New Roman" w:hAnsi="Arial" w:cs="Arial"/>
      <w:b/>
      <w:caps/>
      <w:sz w:val="24"/>
    </w:rPr>
  </w:style>
  <w:style w:type="paragraph" w:customStyle="1" w:styleId="AuthorsName">
    <w:name w:val="Author's Name"/>
    <w:basedOn w:val="Normal"/>
    <w:link w:val="AuthorsNameChar"/>
    <w:qFormat/>
    <w:rsid w:val="00C2679F"/>
    <w:pPr>
      <w:jc w:val="center"/>
    </w:pPr>
    <w:rPr>
      <w:rFonts w:ascii="Calibri" w:hAnsi="Calibri"/>
      <w:sz w:val="22"/>
      <w:szCs w:val="22"/>
    </w:rPr>
  </w:style>
  <w:style w:type="character" w:customStyle="1" w:styleId="Heading1Char">
    <w:name w:val="Heading 1 Char"/>
    <w:basedOn w:val="DefaultParagraphFont"/>
    <w:link w:val="Heading1"/>
    <w:uiPriority w:val="9"/>
    <w:rsid w:val="0068012F"/>
    <w:rPr>
      <w:rFonts w:ascii="Arial" w:eastAsia="Times New Roman" w:hAnsi="Arial" w:cs="Arial"/>
      <w:b/>
      <w:caps/>
      <w:sz w:val="24"/>
      <w:szCs w:val="24"/>
    </w:rPr>
  </w:style>
  <w:style w:type="character" w:customStyle="1" w:styleId="AuthorsNameChar">
    <w:name w:val="Author's Name Char"/>
    <w:basedOn w:val="DefaultParagraphFont"/>
    <w:link w:val="AuthorsName"/>
    <w:rsid w:val="00C2679F"/>
    <w:rPr>
      <w:rFonts w:ascii="Calibri" w:eastAsia="Times New Roman" w:hAnsi="Calibri" w:cs="Arial"/>
    </w:rPr>
  </w:style>
  <w:style w:type="paragraph" w:customStyle="1" w:styleId="Text">
    <w:name w:val="Text"/>
    <w:basedOn w:val="Normal"/>
    <w:link w:val="TextChar"/>
    <w:qFormat/>
    <w:rsid w:val="0068012F"/>
    <w:pPr>
      <w:spacing w:after="240" w:line="300" w:lineRule="auto"/>
      <w:jc w:val="both"/>
    </w:pPr>
    <w:rPr>
      <w:sz w:val="24"/>
    </w:rPr>
  </w:style>
  <w:style w:type="paragraph" w:customStyle="1" w:styleId="Subheading">
    <w:name w:val="Subheading"/>
    <w:basedOn w:val="Normal"/>
    <w:link w:val="SubheadingChar"/>
    <w:qFormat/>
    <w:rsid w:val="0068012F"/>
    <w:pPr>
      <w:keepNext/>
      <w:spacing w:before="480" w:after="240"/>
      <w:jc w:val="both"/>
    </w:pPr>
    <w:rPr>
      <w:b/>
      <w:caps/>
      <w:sz w:val="24"/>
    </w:rPr>
  </w:style>
  <w:style w:type="character" w:customStyle="1" w:styleId="TextChar">
    <w:name w:val="Text Char"/>
    <w:basedOn w:val="DefaultParagraphFont"/>
    <w:link w:val="Text"/>
    <w:rsid w:val="0068012F"/>
    <w:rPr>
      <w:rFonts w:ascii="Arial" w:eastAsia="Times New Roman" w:hAnsi="Arial" w:cs="Arial"/>
      <w:sz w:val="24"/>
      <w:szCs w:val="24"/>
    </w:rPr>
  </w:style>
  <w:style w:type="paragraph" w:customStyle="1" w:styleId="Numbernotes">
    <w:name w:val="Number notes"/>
    <w:basedOn w:val="Normal"/>
    <w:link w:val="NumbernotesChar"/>
    <w:qFormat/>
    <w:rsid w:val="00B40089"/>
    <w:rPr>
      <w:sz w:val="18"/>
      <w:szCs w:val="18"/>
      <w:vertAlign w:val="superscript"/>
    </w:rPr>
  </w:style>
  <w:style w:type="character" w:customStyle="1" w:styleId="SubheadingChar">
    <w:name w:val="Subheading Char"/>
    <w:basedOn w:val="DefaultParagraphFont"/>
    <w:link w:val="Subheading"/>
    <w:rsid w:val="0068012F"/>
    <w:rPr>
      <w:rFonts w:ascii="Arial" w:eastAsia="Times New Roman" w:hAnsi="Arial" w:cs="Arial"/>
      <w:b/>
      <w:caps/>
      <w:sz w:val="24"/>
      <w:szCs w:val="24"/>
    </w:rPr>
  </w:style>
  <w:style w:type="paragraph" w:customStyle="1" w:styleId="Bibliographyreferences">
    <w:name w:val="Bibliography references"/>
    <w:basedOn w:val="Normal"/>
    <w:link w:val="BibliographyreferencesChar"/>
    <w:qFormat/>
    <w:rsid w:val="00B40089"/>
    <w:pPr>
      <w:spacing w:after="240"/>
      <w:jc w:val="both"/>
    </w:pPr>
    <w:rPr>
      <w:sz w:val="24"/>
    </w:rPr>
  </w:style>
  <w:style w:type="character" w:customStyle="1" w:styleId="NumbernotesChar">
    <w:name w:val="Number notes Char"/>
    <w:basedOn w:val="DefaultParagraphFont"/>
    <w:link w:val="Numbernotes"/>
    <w:rsid w:val="00B40089"/>
    <w:rPr>
      <w:rFonts w:ascii="Arial" w:eastAsia="Times New Roman" w:hAnsi="Arial" w:cs="Arial"/>
      <w:sz w:val="18"/>
      <w:szCs w:val="18"/>
      <w:vertAlign w:val="superscript"/>
    </w:rPr>
  </w:style>
  <w:style w:type="character" w:customStyle="1" w:styleId="Heading2Char">
    <w:name w:val="Heading 2 Char"/>
    <w:basedOn w:val="DefaultParagraphFont"/>
    <w:link w:val="Heading2"/>
    <w:uiPriority w:val="9"/>
    <w:rsid w:val="0068012F"/>
    <w:rPr>
      <w:rFonts w:ascii="Arial" w:eastAsia="Times New Roman" w:hAnsi="Arial" w:cs="Arial"/>
      <w:b/>
      <w:sz w:val="24"/>
      <w:szCs w:val="24"/>
    </w:rPr>
  </w:style>
  <w:style w:type="character" w:customStyle="1" w:styleId="BibliographyreferencesChar">
    <w:name w:val="Bibliography references Char"/>
    <w:basedOn w:val="DefaultParagraphFont"/>
    <w:link w:val="Bibliographyreferences"/>
    <w:rsid w:val="00B40089"/>
    <w:rPr>
      <w:rFonts w:ascii="Arial" w:eastAsia="Times New Roman" w:hAnsi="Arial" w:cs="Arial"/>
      <w:sz w:val="24"/>
      <w:szCs w:val="24"/>
    </w:rPr>
  </w:style>
  <w:style w:type="paragraph" w:styleId="Header">
    <w:name w:val="header"/>
    <w:basedOn w:val="Normal"/>
    <w:link w:val="HeaderChar"/>
    <w:uiPriority w:val="99"/>
    <w:unhideWhenUsed/>
    <w:rsid w:val="005A55EB"/>
    <w:pPr>
      <w:tabs>
        <w:tab w:val="center" w:pos="4513"/>
        <w:tab w:val="right" w:pos="9026"/>
      </w:tabs>
    </w:pPr>
  </w:style>
  <w:style w:type="character" w:customStyle="1" w:styleId="HeaderChar">
    <w:name w:val="Header Char"/>
    <w:basedOn w:val="DefaultParagraphFont"/>
    <w:link w:val="Header"/>
    <w:uiPriority w:val="99"/>
    <w:rsid w:val="005A55EB"/>
    <w:rPr>
      <w:rFonts w:ascii="Arial" w:eastAsia="Times New Roman" w:hAnsi="Arial" w:cs="Arial"/>
      <w:sz w:val="20"/>
      <w:szCs w:val="24"/>
    </w:rPr>
  </w:style>
  <w:style w:type="paragraph" w:styleId="Footer">
    <w:name w:val="footer"/>
    <w:basedOn w:val="Normal"/>
    <w:link w:val="FooterChar"/>
    <w:uiPriority w:val="99"/>
    <w:unhideWhenUsed/>
    <w:rsid w:val="005A55EB"/>
    <w:pPr>
      <w:tabs>
        <w:tab w:val="center" w:pos="4513"/>
        <w:tab w:val="right" w:pos="9026"/>
      </w:tabs>
    </w:pPr>
  </w:style>
  <w:style w:type="character" w:customStyle="1" w:styleId="FooterChar">
    <w:name w:val="Footer Char"/>
    <w:basedOn w:val="DefaultParagraphFont"/>
    <w:link w:val="Footer"/>
    <w:uiPriority w:val="99"/>
    <w:rsid w:val="005A55EB"/>
    <w:rPr>
      <w:rFonts w:ascii="Arial" w:eastAsia="Times New Roman" w:hAnsi="Arial" w:cs="Arial"/>
      <w:sz w:val="20"/>
      <w:szCs w:val="24"/>
    </w:rPr>
  </w:style>
  <w:style w:type="paragraph" w:customStyle="1" w:styleId="PageNumber1">
    <w:name w:val="Page Number1"/>
    <w:basedOn w:val="Footer"/>
    <w:link w:val="PagenumberChar"/>
    <w:qFormat/>
    <w:rsid w:val="005A55EB"/>
    <w:pPr>
      <w:jc w:val="center"/>
    </w:pPr>
    <w:rPr>
      <w:sz w:val="24"/>
    </w:rPr>
  </w:style>
  <w:style w:type="paragraph" w:customStyle="1" w:styleId="copyright">
    <w:name w:val="copyright"/>
    <w:basedOn w:val="PageNumber1"/>
    <w:link w:val="copyrightChar"/>
    <w:qFormat/>
    <w:rsid w:val="005A55EB"/>
    <w:pPr>
      <w:jc w:val="left"/>
    </w:pPr>
    <w:rPr>
      <w:sz w:val="20"/>
      <w:szCs w:val="20"/>
    </w:rPr>
  </w:style>
  <w:style w:type="character" w:customStyle="1" w:styleId="PagenumberChar">
    <w:name w:val="Page number Char"/>
    <w:basedOn w:val="FooterChar"/>
    <w:link w:val="PageNumber1"/>
    <w:rsid w:val="005A55EB"/>
    <w:rPr>
      <w:rFonts w:ascii="Arial" w:eastAsia="Times New Roman" w:hAnsi="Arial" w:cs="Arial"/>
      <w:sz w:val="24"/>
      <w:szCs w:val="24"/>
    </w:rPr>
  </w:style>
  <w:style w:type="character" w:styleId="Emphasis">
    <w:name w:val="Emphasis"/>
    <w:basedOn w:val="DefaultParagraphFont"/>
    <w:uiPriority w:val="20"/>
    <w:qFormat/>
    <w:rsid w:val="005A55EB"/>
    <w:rPr>
      <w:i/>
      <w:iCs/>
    </w:rPr>
  </w:style>
  <w:style w:type="character" w:customStyle="1" w:styleId="copyrightChar">
    <w:name w:val="copyright Char"/>
    <w:basedOn w:val="PagenumberChar"/>
    <w:link w:val="copyright"/>
    <w:rsid w:val="005A55EB"/>
    <w:rPr>
      <w:rFonts w:ascii="Arial" w:eastAsia="Times New Roman" w:hAnsi="Arial" w:cs="Arial"/>
      <w:sz w:val="20"/>
      <w:szCs w:val="20"/>
    </w:rPr>
  </w:style>
  <w:style w:type="character" w:styleId="Strong">
    <w:name w:val="Strong"/>
    <w:basedOn w:val="DefaultParagraphFont"/>
    <w:uiPriority w:val="22"/>
    <w:qFormat/>
    <w:rsid w:val="005A55EB"/>
    <w:rPr>
      <w:b/>
      <w:bCs/>
    </w:rPr>
  </w:style>
  <w:style w:type="paragraph" w:styleId="ListParagraph">
    <w:name w:val="List Paragraph"/>
    <w:basedOn w:val="Normal"/>
    <w:uiPriority w:val="34"/>
    <w:qFormat/>
    <w:rsid w:val="005C3C85"/>
    <w:pPr>
      <w:numPr>
        <w:numId w:val="9"/>
      </w:numPr>
      <w:spacing w:after="120" w:line="288" w:lineRule="auto"/>
      <w:ind w:left="0" w:hanging="284"/>
    </w:pPr>
    <w:rPr>
      <w:sz w:val="24"/>
    </w:rPr>
  </w:style>
  <w:style w:type="character" w:customStyle="1" w:styleId="Heading3Char">
    <w:name w:val="Heading 3 Char"/>
    <w:basedOn w:val="DefaultParagraphFont"/>
    <w:link w:val="Heading3"/>
    <w:uiPriority w:val="9"/>
    <w:rsid w:val="00A461D6"/>
    <w:rPr>
      <w:rFonts w:asciiTheme="majorHAnsi" w:eastAsiaTheme="majorEastAsia" w:hAnsiTheme="majorHAnsi" w:cstheme="majorBidi"/>
      <w:b/>
      <w:bCs/>
      <w:color w:val="4F81BD" w:themeColor="accent1"/>
      <w:sz w:val="20"/>
      <w:szCs w:val="24"/>
    </w:rPr>
  </w:style>
  <w:style w:type="paragraph" w:customStyle="1" w:styleId="Julkaisuleipis">
    <w:name w:val="Julkaisu leipis"/>
    <w:basedOn w:val="Normal"/>
    <w:uiPriority w:val="99"/>
    <w:rsid w:val="00A461D6"/>
    <w:pPr>
      <w:autoSpaceDE w:val="0"/>
      <w:autoSpaceDN w:val="0"/>
      <w:adjustRightInd w:val="0"/>
      <w:spacing w:after="240" w:line="260" w:lineRule="atLeast"/>
      <w:jc w:val="both"/>
      <w:textAlignment w:val="center"/>
    </w:pPr>
    <w:rPr>
      <w:rFonts w:ascii="Felbridge Pro" w:hAnsi="Felbridge Pro"/>
      <w:color w:val="000000"/>
      <w:szCs w:val="22"/>
      <w:lang w:val="fi-FI" w:eastAsia="fi-FI"/>
    </w:rPr>
  </w:style>
  <w:style w:type="paragraph" w:customStyle="1" w:styleId="Ingressi">
    <w:name w:val="Ingressi"/>
    <w:basedOn w:val="Normal"/>
    <w:next w:val="BodyText"/>
    <w:rsid w:val="009F2428"/>
    <w:pPr>
      <w:tabs>
        <w:tab w:val="num" w:pos="595"/>
      </w:tabs>
      <w:spacing w:after="320"/>
      <w:jc w:val="both"/>
      <w:outlineLvl w:val="0"/>
    </w:pPr>
    <w:rPr>
      <w:rFonts w:ascii="Felbridge Pro" w:hAnsi="Felbridge Pro" w:cs="Times New Roman"/>
      <w:sz w:val="26"/>
      <w:szCs w:val="20"/>
      <w:lang w:val="fi-FI"/>
    </w:rPr>
  </w:style>
  <w:style w:type="paragraph" w:styleId="BodyText">
    <w:name w:val="Body Text"/>
    <w:basedOn w:val="Normal"/>
    <w:link w:val="BodyTextChar"/>
    <w:uiPriority w:val="99"/>
    <w:semiHidden/>
    <w:unhideWhenUsed/>
    <w:rsid w:val="009F2428"/>
    <w:pPr>
      <w:spacing w:after="120"/>
    </w:pPr>
  </w:style>
  <w:style w:type="character" w:customStyle="1" w:styleId="BodyTextChar">
    <w:name w:val="Body Text Char"/>
    <w:basedOn w:val="DefaultParagraphFont"/>
    <w:link w:val="BodyText"/>
    <w:uiPriority w:val="99"/>
    <w:semiHidden/>
    <w:rsid w:val="009F2428"/>
    <w:rPr>
      <w:rFonts w:ascii="Arial" w:eastAsia="Times New Roman" w:hAnsi="Arial" w:cs="Arial"/>
      <w:sz w:val="20"/>
      <w:szCs w:val="24"/>
    </w:rPr>
  </w:style>
  <w:style w:type="paragraph" w:styleId="Caption">
    <w:name w:val="caption"/>
    <w:aliases w:val="CaptionKuva"/>
    <w:basedOn w:val="Normal"/>
    <w:next w:val="Normal"/>
    <w:link w:val="CaptionChar"/>
    <w:qFormat/>
    <w:rsid w:val="005133B6"/>
    <w:pPr>
      <w:tabs>
        <w:tab w:val="left" w:pos="1304"/>
      </w:tabs>
      <w:spacing w:before="240" w:after="240"/>
      <w:ind w:left="1304" w:hanging="1304"/>
    </w:pPr>
    <w:rPr>
      <w:rFonts w:ascii="Felbridge Pro" w:hAnsi="Felbridge Pro" w:cs="Times New Roman"/>
      <w:i/>
      <w:szCs w:val="20"/>
      <w:lang w:val="fi-FI"/>
    </w:rPr>
  </w:style>
  <w:style w:type="character" w:customStyle="1" w:styleId="CaptionChar">
    <w:name w:val="Caption Char"/>
    <w:aliases w:val="CaptionKuva Char"/>
    <w:link w:val="Caption"/>
    <w:rsid w:val="005133B6"/>
    <w:rPr>
      <w:rFonts w:ascii="Felbridge Pro" w:eastAsia="Times New Roman" w:hAnsi="Felbridge Pro" w:cs="Times New Roman"/>
      <w:i/>
      <w:sz w:val="20"/>
      <w:szCs w:val="20"/>
      <w:lang w:val="fi-FI"/>
    </w:rPr>
  </w:style>
  <w:style w:type="table" w:styleId="TableGrid">
    <w:name w:val="Table Grid"/>
    <w:basedOn w:val="TableNormal"/>
    <w:rsid w:val="00822096"/>
    <w:pPr>
      <w:spacing w:after="320" w:line="320" w:lineRule="exact"/>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661C11"/>
    <w:rPr>
      <w:b/>
      <w:bCs/>
    </w:rPr>
  </w:style>
  <w:style w:type="character" w:customStyle="1" w:styleId="CommentSubjectChar">
    <w:name w:val="Comment Subject Char"/>
    <w:basedOn w:val="CommentTextChar"/>
    <w:link w:val="CommentSubject"/>
    <w:uiPriority w:val="99"/>
    <w:semiHidden/>
    <w:rsid w:val="00661C11"/>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2679F"/>
    <w:pPr>
      <w:spacing w:after="0" w:line="240" w:lineRule="auto"/>
    </w:pPr>
    <w:rPr>
      <w:rFonts w:ascii="Arial" w:eastAsia="Times New Roman" w:hAnsi="Arial" w:cs="Arial"/>
      <w:sz w:val="20"/>
      <w:szCs w:val="24"/>
    </w:rPr>
  </w:style>
  <w:style w:type="paragraph" w:styleId="Heading1">
    <w:name w:val="heading 1"/>
    <w:basedOn w:val="Normal"/>
    <w:next w:val="Normal"/>
    <w:link w:val="Heading1Char"/>
    <w:uiPriority w:val="9"/>
    <w:qFormat/>
    <w:rsid w:val="0068012F"/>
    <w:pPr>
      <w:numPr>
        <w:numId w:val="1"/>
      </w:numPr>
      <w:spacing w:before="240" w:after="240"/>
      <w:jc w:val="both"/>
      <w:outlineLvl w:val="0"/>
    </w:pPr>
    <w:rPr>
      <w:b/>
      <w:caps/>
      <w:sz w:val="24"/>
    </w:rPr>
  </w:style>
  <w:style w:type="paragraph" w:styleId="Heading2">
    <w:name w:val="heading 2"/>
    <w:basedOn w:val="Heading1"/>
    <w:next w:val="Normal"/>
    <w:link w:val="Heading2Char"/>
    <w:uiPriority w:val="9"/>
    <w:unhideWhenUsed/>
    <w:qFormat/>
    <w:rsid w:val="0068012F"/>
    <w:pPr>
      <w:numPr>
        <w:ilvl w:val="1"/>
        <w:numId w:val="7"/>
      </w:numPr>
      <w:outlineLvl w:val="1"/>
    </w:pPr>
    <w:rPr>
      <w:caps w:val="0"/>
    </w:rPr>
  </w:style>
  <w:style w:type="paragraph" w:styleId="Heading3">
    <w:name w:val="heading 3"/>
    <w:basedOn w:val="Normal"/>
    <w:next w:val="Normal"/>
    <w:link w:val="Heading3Char"/>
    <w:uiPriority w:val="9"/>
    <w:unhideWhenUsed/>
    <w:rsid w:val="00A461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dcentaur1">
    <w:name w:val="Redcentaur1"/>
    <w:basedOn w:val="TableNormal"/>
    <w:uiPriority w:val="99"/>
    <w:rsid w:val="00E95598"/>
    <w:pPr>
      <w:spacing w:after="0" w:line="240" w:lineRule="auto"/>
    </w:pPr>
    <w:tblPr>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2679F"/>
    <w:rPr>
      <w:sz w:val="16"/>
      <w:szCs w:val="16"/>
    </w:rPr>
  </w:style>
  <w:style w:type="paragraph" w:styleId="CommentText">
    <w:name w:val="annotation text"/>
    <w:basedOn w:val="Normal"/>
    <w:link w:val="CommentTextChar"/>
    <w:uiPriority w:val="99"/>
    <w:semiHidden/>
    <w:unhideWhenUsed/>
    <w:rsid w:val="00C2679F"/>
    <w:rPr>
      <w:szCs w:val="20"/>
    </w:rPr>
  </w:style>
  <w:style w:type="character" w:customStyle="1" w:styleId="CommentTextChar">
    <w:name w:val="Comment Text Char"/>
    <w:basedOn w:val="DefaultParagraphFont"/>
    <w:link w:val="CommentText"/>
    <w:uiPriority w:val="99"/>
    <w:semiHidden/>
    <w:rsid w:val="00C2679F"/>
    <w:rPr>
      <w:rFonts w:ascii="Arial" w:eastAsia="Times New Roman" w:hAnsi="Arial" w:cs="Arial"/>
      <w:sz w:val="20"/>
      <w:szCs w:val="20"/>
    </w:rPr>
  </w:style>
  <w:style w:type="paragraph" w:styleId="BalloonText">
    <w:name w:val="Balloon Text"/>
    <w:basedOn w:val="Normal"/>
    <w:link w:val="BalloonTextChar"/>
    <w:uiPriority w:val="99"/>
    <w:semiHidden/>
    <w:unhideWhenUsed/>
    <w:rsid w:val="00C2679F"/>
    <w:rPr>
      <w:rFonts w:ascii="Tahoma" w:hAnsi="Tahoma" w:cs="Tahoma"/>
      <w:sz w:val="16"/>
      <w:szCs w:val="16"/>
    </w:rPr>
  </w:style>
  <w:style w:type="character" w:customStyle="1" w:styleId="BalloonTextChar">
    <w:name w:val="Balloon Text Char"/>
    <w:basedOn w:val="DefaultParagraphFont"/>
    <w:link w:val="BalloonText"/>
    <w:uiPriority w:val="99"/>
    <w:semiHidden/>
    <w:rsid w:val="00C2679F"/>
    <w:rPr>
      <w:rFonts w:ascii="Tahoma" w:eastAsia="Times New Roman" w:hAnsi="Tahoma" w:cs="Tahoma"/>
      <w:sz w:val="16"/>
      <w:szCs w:val="16"/>
    </w:rPr>
  </w:style>
  <w:style w:type="paragraph" w:styleId="Title">
    <w:name w:val="Title"/>
    <w:basedOn w:val="Normal"/>
    <w:next w:val="Normal"/>
    <w:link w:val="TitleChar"/>
    <w:uiPriority w:val="10"/>
    <w:qFormat/>
    <w:rsid w:val="00C2679F"/>
    <w:pPr>
      <w:spacing w:after="240"/>
      <w:jc w:val="center"/>
    </w:pPr>
    <w:rPr>
      <w:b/>
      <w:caps/>
      <w:sz w:val="24"/>
      <w:szCs w:val="22"/>
    </w:rPr>
  </w:style>
  <w:style w:type="character" w:customStyle="1" w:styleId="TitleChar">
    <w:name w:val="Title Char"/>
    <w:basedOn w:val="DefaultParagraphFont"/>
    <w:link w:val="Title"/>
    <w:uiPriority w:val="10"/>
    <w:rsid w:val="00C2679F"/>
    <w:rPr>
      <w:rFonts w:ascii="Arial" w:eastAsia="Times New Roman" w:hAnsi="Arial" w:cs="Arial"/>
      <w:b/>
      <w:caps/>
      <w:sz w:val="24"/>
    </w:rPr>
  </w:style>
  <w:style w:type="paragraph" w:customStyle="1" w:styleId="AuthorsName">
    <w:name w:val="Author's Name"/>
    <w:basedOn w:val="Normal"/>
    <w:link w:val="AuthorsNameChar"/>
    <w:qFormat/>
    <w:rsid w:val="00C2679F"/>
    <w:pPr>
      <w:jc w:val="center"/>
    </w:pPr>
    <w:rPr>
      <w:rFonts w:ascii="Calibri" w:hAnsi="Calibri"/>
      <w:sz w:val="22"/>
      <w:szCs w:val="22"/>
    </w:rPr>
  </w:style>
  <w:style w:type="character" w:customStyle="1" w:styleId="Heading1Char">
    <w:name w:val="Heading 1 Char"/>
    <w:basedOn w:val="DefaultParagraphFont"/>
    <w:link w:val="Heading1"/>
    <w:uiPriority w:val="9"/>
    <w:rsid w:val="0068012F"/>
    <w:rPr>
      <w:rFonts w:ascii="Arial" w:eastAsia="Times New Roman" w:hAnsi="Arial" w:cs="Arial"/>
      <w:b/>
      <w:caps/>
      <w:sz w:val="24"/>
      <w:szCs w:val="24"/>
    </w:rPr>
  </w:style>
  <w:style w:type="character" w:customStyle="1" w:styleId="AuthorsNameChar">
    <w:name w:val="Author's Name Char"/>
    <w:basedOn w:val="DefaultParagraphFont"/>
    <w:link w:val="AuthorsName"/>
    <w:rsid w:val="00C2679F"/>
    <w:rPr>
      <w:rFonts w:ascii="Calibri" w:eastAsia="Times New Roman" w:hAnsi="Calibri" w:cs="Arial"/>
    </w:rPr>
  </w:style>
  <w:style w:type="paragraph" w:customStyle="1" w:styleId="Text">
    <w:name w:val="Text"/>
    <w:basedOn w:val="Normal"/>
    <w:link w:val="TextChar"/>
    <w:qFormat/>
    <w:rsid w:val="0068012F"/>
    <w:pPr>
      <w:spacing w:after="240" w:line="300" w:lineRule="auto"/>
      <w:jc w:val="both"/>
    </w:pPr>
    <w:rPr>
      <w:sz w:val="24"/>
    </w:rPr>
  </w:style>
  <w:style w:type="paragraph" w:customStyle="1" w:styleId="Subheading">
    <w:name w:val="Subheading"/>
    <w:basedOn w:val="Normal"/>
    <w:link w:val="SubheadingChar"/>
    <w:qFormat/>
    <w:rsid w:val="0068012F"/>
    <w:pPr>
      <w:keepNext/>
      <w:spacing w:before="480" w:after="240"/>
      <w:jc w:val="both"/>
    </w:pPr>
    <w:rPr>
      <w:b/>
      <w:caps/>
      <w:sz w:val="24"/>
    </w:rPr>
  </w:style>
  <w:style w:type="character" w:customStyle="1" w:styleId="TextChar">
    <w:name w:val="Text Char"/>
    <w:basedOn w:val="DefaultParagraphFont"/>
    <w:link w:val="Text"/>
    <w:rsid w:val="0068012F"/>
    <w:rPr>
      <w:rFonts w:ascii="Arial" w:eastAsia="Times New Roman" w:hAnsi="Arial" w:cs="Arial"/>
      <w:sz w:val="24"/>
      <w:szCs w:val="24"/>
    </w:rPr>
  </w:style>
  <w:style w:type="paragraph" w:customStyle="1" w:styleId="Numbernotes">
    <w:name w:val="Number notes"/>
    <w:basedOn w:val="Normal"/>
    <w:link w:val="NumbernotesChar"/>
    <w:qFormat/>
    <w:rsid w:val="00B40089"/>
    <w:rPr>
      <w:sz w:val="18"/>
      <w:szCs w:val="18"/>
      <w:vertAlign w:val="superscript"/>
    </w:rPr>
  </w:style>
  <w:style w:type="character" w:customStyle="1" w:styleId="SubheadingChar">
    <w:name w:val="Subheading Char"/>
    <w:basedOn w:val="DefaultParagraphFont"/>
    <w:link w:val="Subheading"/>
    <w:rsid w:val="0068012F"/>
    <w:rPr>
      <w:rFonts w:ascii="Arial" w:eastAsia="Times New Roman" w:hAnsi="Arial" w:cs="Arial"/>
      <w:b/>
      <w:caps/>
      <w:sz w:val="24"/>
      <w:szCs w:val="24"/>
    </w:rPr>
  </w:style>
  <w:style w:type="paragraph" w:customStyle="1" w:styleId="Bibliographyreferences">
    <w:name w:val="Bibliography references"/>
    <w:basedOn w:val="Normal"/>
    <w:link w:val="BibliographyreferencesChar"/>
    <w:qFormat/>
    <w:rsid w:val="00B40089"/>
    <w:pPr>
      <w:spacing w:after="240"/>
      <w:jc w:val="both"/>
    </w:pPr>
    <w:rPr>
      <w:sz w:val="24"/>
    </w:rPr>
  </w:style>
  <w:style w:type="character" w:customStyle="1" w:styleId="NumbernotesChar">
    <w:name w:val="Number notes Char"/>
    <w:basedOn w:val="DefaultParagraphFont"/>
    <w:link w:val="Numbernotes"/>
    <w:rsid w:val="00B40089"/>
    <w:rPr>
      <w:rFonts w:ascii="Arial" w:eastAsia="Times New Roman" w:hAnsi="Arial" w:cs="Arial"/>
      <w:sz w:val="18"/>
      <w:szCs w:val="18"/>
      <w:vertAlign w:val="superscript"/>
    </w:rPr>
  </w:style>
  <w:style w:type="character" w:customStyle="1" w:styleId="Heading2Char">
    <w:name w:val="Heading 2 Char"/>
    <w:basedOn w:val="DefaultParagraphFont"/>
    <w:link w:val="Heading2"/>
    <w:uiPriority w:val="9"/>
    <w:rsid w:val="0068012F"/>
    <w:rPr>
      <w:rFonts w:ascii="Arial" w:eastAsia="Times New Roman" w:hAnsi="Arial" w:cs="Arial"/>
      <w:b/>
      <w:sz w:val="24"/>
      <w:szCs w:val="24"/>
    </w:rPr>
  </w:style>
  <w:style w:type="character" w:customStyle="1" w:styleId="BibliographyreferencesChar">
    <w:name w:val="Bibliography references Char"/>
    <w:basedOn w:val="DefaultParagraphFont"/>
    <w:link w:val="Bibliographyreferences"/>
    <w:rsid w:val="00B40089"/>
    <w:rPr>
      <w:rFonts w:ascii="Arial" w:eastAsia="Times New Roman" w:hAnsi="Arial" w:cs="Arial"/>
      <w:sz w:val="24"/>
      <w:szCs w:val="24"/>
    </w:rPr>
  </w:style>
  <w:style w:type="paragraph" w:styleId="Header">
    <w:name w:val="header"/>
    <w:basedOn w:val="Normal"/>
    <w:link w:val="HeaderChar"/>
    <w:uiPriority w:val="99"/>
    <w:unhideWhenUsed/>
    <w:rsid w:val="005A55EB"/>
    <w:pPr>
      <w:tabs>
        <w:tab w:val="center" w:pos="4513"/>
        <w:tab w:val="right" w:pos="9026"/>
      </w:tabs>
    </w:pPr>
  </w:style>
  <w:style w:type="character" w:customStyle="1" w:styleId="HeaderChar">
    <w:name w:val="Header Char"/>
    <w:basedOn w:val="DefaultParagraphFont"/>
    <w:link w:val="Header"/>
    <w:uiPriority w:val="99"/>
    <w:rsid w:val="005A55EB"/>
    <w:rPr>
      <w:rFonts w:ascii="Arial" w:eastAsia="Times New Roman" w:hAnsi="Arial" w:cs="Arial"/>
      <w:sz w:val="20"/>
      <w:szCs w:val="24"/>
    </w:rPr>
  </w:style>
  <w:style w:type="paragraph" w:styleId="Footer">
    <w:name w:val="footer"/>
    <w:basedOn w:val="Normal"/>
    <w:link w:val="FooterChar"/>
    <w:uiPriority w:val="99"/>
    <w:unhideWhenUsed/>
    <w:rsid w:val="005A55EB"/>
    <w:pPr>
      <w:tabs>
        <w:tab w:val="center" w:pos="4513"/>
        <w:tab w:val="right" w:pos="9026"/>
      </w:tabs>
    </w:pPr>
  </w:style>
  <w:style w:type="character" w:customStyle="1" w:styleId="FooterChar">
    <w:name w:val="Footer Char"/>
    <w:basedOn w:val="DefaultParagraphFont"/>
    <w:link w:val="Footer"/>
    <w:uiPriority w:val="99"/>
    <w:rsid w:val="005A55EB"/>
    <w:rPr>
      <w:rFonts w:ascii="Arial" w:eastAsia="Times New Roman" w:hAnsi="Arial" w:cs="Arial"/>
      <w:sz w:val="20"/>
      <w:szCs w:val="24"/>
    </w:rPr>
  </w:style>
  <w:style w:type="paragraph" w:customStyle="1" w:styleId="PageNumber1">
    <w:name w:val="Page Number1"/>
    <w:basedOn w:val="Footer"/>
    <w:link w:val="PagenumberChar"/>
    <w:qFormat/>
    <w:rsid w:val="005A55EB"/>
    <w:pPr>
      <w:jc w:val="center"/>
    </w:pPr>
    <w:rPr>
      <w:sz w:val="24"/>
    </w:rPr>
  </w:style>
  <w:style w:type="paragraph" w:customStyle="1" w:styleId="copyright">
    <w:name w:val="copyright"/>
    <w:basedOn w:val="PageNumber1"/>
    <w:link w:val="copyrightChar"/>
    <w:qFormat/>
    <w:rsid w:val="005A55EB"/>
    <w:pPr>
      <w:jc w:val="left"/>
    </w:pPr>
    <w:rPr>
      <w:sz w:val="20"/>
      <w:szCs w:val="20"/>
    </w:rPr>
  </w:style>
  <w:style w:type="character" w:customStyle="1" w:styleId="PagenumberChar">
    <w:name w:val="Page number Char"/>
    <w:basedOn w:val="FooterChar"/>
    <w:link w:val="PageNumber1"/>
    <w:rsid w:val="005A55EB"/>
    <w:rPr>
      <w:rFonts w:ascii="Arial" w:eastAsia="Times New Roman" w:hAnsi="Arial" w:cs="Arial"/>
      <w:sz w:val="24"/>
      <w:szCs w:val="24"/>
    </w:rPr>
  </w:style>
  <w:style w:type="character" w:styleId="Emphasis">
    <w:name w:val="Emphasis"/>
    <w:basedOn w:val="DefaultParagraphFont"/>
    <w:uiPriority w:val="20"/>
    <w:qFormat/>
    <w:rsid w:val="005A55EB"/>
    <w:rPr>
      <w:i/>
      <w:iCs/>
    </w:rPr>
  </w:style>
  <w:style w:type="character" w:customStyle="1" w:styleId="copyrightChar">
    <w:name w:val="copyright Char"/>
    <w:basedOn w:val="PagenumberChar"/>
    <w:link w:val="copyright"/>
    <w:rsid w:val="005A55EB"/>
    <w:rPr>
      <w:rFonts w:ascii="Arial" w:eastAsia="Times New Roman" w:hAnsi="Arial" w:cs="Arial"/>
      <w:sz w:val="20"/>
      <w:szCs w:val="20"/>
    </w:rPr>
  </w:style>
  <w:style w:type="character" w:styleId="Strong">
    <w:name w:val="Strong"/>
    <w:basedOn w:val="DefaultParagraphFont"/>
    <w:uiPriority w:val="22"/>
    <w:qFormat/>
    <w:rsid w:val="005A55EB"/>
    <w:rPr>
      <w:b/>
      <w:bCs/>
    </w:rPr>
  </w:style>
  <w:style w:type="paragraph" w:styleId="ListParagraph">
    <w:name w:val="List Paragraph"/>
    <w:basedOn w:val="Normal"/>
    <w:uiPriority w:val="34"/>
    <w:qFormat/>
    <w:rsid w:val="005C3C85"/>
    <w:pPr>
      <w:numPr>
        <w:numId w:val="9"/>
      </w:numPr>
      <w:spacing w:after="120" w:line="288" w:lineRule="auto"/>
      <w:ind w:left="0" w:hanging="284"/>
    </w:pPr>
    <w:rPr>
      <w:sz w:val="24"/>
    </w:rPr>
  </w:style>
  <w:style w:type="character" w:customStyle="1" w:styleId="Heading3Char">
    <w:name w:val="Heading 3 Char"/>
    <w:basedOn w:val="DefaultParagraphFont"/>
    <w:link w:val="Heading3"/>
    <w:uiPriority w:val="9"/>
    <w:rsid w:val="00A461D6"/>
    <w:rPr>
      <w:rFonts w:asciiTheme="majorHAnsi" w:eastAsiaTheme="majorEastAsia" w:hAnsiTheme="majorHAnsi" w:cstheme="majorBidi"/>
      <w:b/>
      <w:bCs/>
      <w:color w:val="4F81BD" w:themeColor="accent1"/>
      <w:sz w:val="20"/>
      <w:szCs w:val="24"/>
    </w:rPr>
  </w:style>
  <w:style w:type="paragraph" w:customStyle="1" w:styleId="Julkaisuleipis">
    <w:name w:val="Julkaisu leipis"/>
    <w:basedOn w:val="Normal"/>
    <w:uiPriority w:val="99"/>
    <w:rsid w:val="00A461D6"/>
    <w:pPr>
      <w:autoSpaceDE w:val="0"/>
      <w:autoSpaceDN w:val="0"/>
      <w:adjustRightInd w:val="0"/>
      <w:spacing w:after="240" w:line="260" w:lineRule="atLeast"/>
      <w:jc w:val="both"/>
      <w:textAlignment w:val="center"/>
    </w:pPr>
    <w:rPr>
      <w:rFonts w:ascii="Felbridge Pro" w:hAnsi="Felbridge Pro"/>
      <w:color w:val="000000"/>
      <w:szCs w:val="22"/>
      <w:lang w:val="fi-FI" w:eastAsia="fi-FI"/>
    </w:rPr>
  </w:style>
  <w:style w:type="paragraph" w:customStyle="1" w:styleId="Ingressi">
    <w:name w:val="Ingressi"/>
    <w:basedOn w:val="Normal"/>
    <w:next w:val="BodyText"/>
    <w:rsid w:val="009F2428"/>
    <w:pPr>
      <w:tabs>
        <w:tab w:val="num" w:pos="595"/>
      </w:tabs>
      <w:spacing w:after="320"/>
      <w:jc w:val="both"/>
      <w:outlineLvl w:val="0"/>
    </w:pPr>
    <w:rPr>
      <w:rFonts w:ascii="Felbridge Pro" w:hAnsi="Felbridge Pro" w:cs="Times New Roman"/>
      <w:sz w:val="26"/>
      <w:szCs w:val="20"/>
      <w:lang w:val="fi-FI"/>
    </w:rPr>
  </w:style>
  <w:style w:type="paragraph" w:styleId="BodyText">
    <w:name w:val="Body Text"/>
    <w:basedOn w:val="Normal"/>
    <w:link w:val="BodyTextChar"/>
    <w:uiPriority w:val="99"/>
    <w:semiHidden/>
    <w:unhideWhenUsed/>
    <w:rsid w:val="009F2428"/>
    <w:pPr>
      <w:spacing w:after="120"/>
    </w:pPr>
  </w:style>
  <w:style w:type="character" w:customStyle="1" w:styleId="BodyTextChar">
    <w:name w:val="Body Text Char"/>
    <w:basedOn w:val="DefaultParagraphFont"/>
    <w:link w:val="BodyText"/>
    <w:uiPriority w:val="99"/>
    <w:semiHidden/>
    <w:rsid w:val="009F2428"/>
    <w:rPr>
      <w:rFonts w:ascii="Arial" w:eastAsia="Times New Roman" w:hAnsi="Arial" w:cs="Arial"/>
      <w:sz w:val="20"/>
      <w:szCs w:val="24"/>
    </w:rPr>
  </w:style>
  <w:style w:type="paragraph" w:styleId="Caption">
    <w:name w:val="caption"/>
    <w:aliases w:val="CaptionKuva"/>
    <w:basedOn w:val="Normal"/>
    <w:next w:val="Normal"/>
    <w:link w:val="CaptionChar"/>
    <w:qFormat/>
    <w:rsid w:val="005133B6"/>
    <w:pPr>
      <w:tabs>
        <w:tab w:val="left" w:pos="1304"/>
      </w:tabs>
      <w:spacing w:before="240" w:after="240"/>
      <w:ind w:left="1304" w:hanging="1304"/>
    </w:pPr>
    <w:rPr>
      <w:rFonts w:ascii="Felbridge Pro" w:hAnsi="Felbridge Pro" w:cs="Times New Roman"/>
      <w:i/>
      <w:szCs w:val="20"/>
      <w:lang w:val="fi-FI"/>
    </w:rPr>
  </w:style>
  <w:style w:type="character" w:customStyle="1" w:styleId="CaptionChar">
    <w:name w:val="Caption Char"/>
    <w:aliases w:val="CaptionKuva Char"/>
    <w:link w:val="Caption"/>
    <w:rsid w:val="005133B6"/>
    <w:rPr>
      <w:rFonts w:ascii="Felbridge Pro" w:eastAsia="Times New Roman" w:hAnsi="Felbridge Pro" w:cs="Times New Roman"/>
      <w:i/>
      <w:sz w:val="20"/>
      <w:szCs w:val="20"/>
      <w:lang w:val="fi-FI"/>
    </w:rPr>
  </w:style>
  <w:style w:type="table" w:styleId="TableGrid">
    <w:name w:val="Table Grid"/>
    <w:basedOn w:val="TableNormal"/>
    <w:rsid w:val="00822096"/>
    <w:pPr>
      <w:spacing w:after="320" w:line="320" w:lineRule="exact"/>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661C11"/>
    <w:rPr>
      <w:b/>
      <w:bCs/>
    </w:rPr>
  </w:style>
  <w:style w:type="character" w:customStyle="1" w:styleId="CommentSubjectChar">
    <w:name w:val="Comment Subject Char"/>
    <w:basedOn w:val="CommentTextChar"/>
    <w:link w:val="CommentSubject"/>
    <w:uiPriority w:val="99"/>
    <w:semiHidden/>
    <w:rsid w:val="00661C11"/>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9375A-29A6-400A-A9DB-6622070E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3450</Words>
  <Characters>19669</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VTT</Company>
  <LinksUpToDate>false</LinksUpToDate>
  <CharactersWithSpaces>23073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Reffin</dc:creator>
  <cp:lastModifiedBy>Satu Innamaa</cp:lastModifiedBy>
  <cp:revision>2</cp:revision>
  <dcterms:created xsi:type="dcterms:W3CDTF">2013-08-30T17:18:00Z</dcterms:created>
  <dcterms:modified xsi:type="dcterms:W3CDTF">2013-08-30T17:18:00Z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-1668629500</vt:i4>
  </property>
  <property fmtid="{D5CDD505-2E9C-101B-9397-08002B2CF9AE}" pid="3" name="_NewReviewCycle">
    <vt:lpwstr/>
  </property>
  <property fmtid="{D5CDD505-2E9C-101B-9397-08002B2CF9AE}" pid="4" name="_EmailSubject">
    <vt:lpwstr>ETC-paperi submitattavaksi</vt:lpwstr>
  </property>
  <property fmtid="{D5CDD505-2E9C-101B-9397-08002B2CF9AE}" pid="5" name="_AuthorEmail">
    <vt:lpwstr>Eetu.Pilli-Sihvola@vtt.fi</vt:lpwstr>
  </property>
  <property fmtid="{D5CDD505-2E9C-101B-9397-08002B2CF9AE}" pid="6" name="_AuthorEmailDisplayName">
    <vt:lpwstr>Pilli-Sihvola Eetu</vt:lpwstr>
  </property>
  <property fmtid="{D5CDD505-2E9C-101B-9397-08002B2CF9AE}" pid="7" name="_PreviousAdHocReviewCycleID">
    <vt:i4>224342114</vt:i4>
  </property>
  <property fmtid="{D5CDD505-2E9C-101B-9397-08002B2CF9AE}" pid="8" name="_ReviewingToolsShownOnce">
    <vt:lpwstr/>
  </property>
</Properties>
</file>