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BE0" w:rsidRPr="005B39AC" w:rsidRDefault="002F0BE0" w:rsidP="002F0BE0">
      <w:pPr>
        <w:pStyle w:val="Title"/>
      </w:pPr>
      <w:r w:rsidRPr="005B39AC">
        <w:t>UPgrading Rural Bridges for Improved Freight Efficiency</w:t>
      </w:r>
    </w:p>
    <w:p w:rsidR="002F0BE0" w:rsidRPr="005B39AC" w:rsidRDefault="002F0BE0" w:rsidP="002F0BE0">
      <w:pPr>
        <w:pStyle w:val="AuthorsName"/>
      </w:pPr>
      <w:r w:rsidRPr="005B39AC">
        <w:t>Wayne Davies</w:t>
      </w:r>
    </w:p>
    <w:p w:rsidR="002F0BE0" w:rsidRPr="005B39AC" w:rsidRDefault="002F0BE0" w:rsidP="002F0BE0">
      <w:pPr>
        <w:pStyle w:val="AuthorsName"/>
      </w:pPr>
      <w:r w:rsidRPr="005B39AC">
        <w:t>Transport and Main Roads</w:t>
      </w:r>
      <w:r w:rsidR="00B47A9C">
        <w:t xml:space="preserve"> (Queensland, Australia)</w:t>
      </w:r>
    </w:p>
    <w:p w:rsidR="002F0BE0" w:rsidRPr="003D4344" w:rsidRDefault="002F0BE0" w:rsidP="002F0BE0">
      <w:pPr>
        <w:pStyle w:val="Heading1"/>
        <w:numPr>
          <w:ilvl w:val="0"/>
          <w:numId w:val="11"/>
        </w:numPr>
        <w:ind w:left="0" w:hanging="567"/>
      </w:pPr>
      <w:r w:rsidRPr="003D4344">
        <w:t>Introduction</w:t>
      </w:r>
    </w:p>
    <w:p w:rsidR="002F0BE0" w:rsidRDefault="002F0BE0" w:rsidP="002F0BE0">
      <w:pPr>
        <w:pStyle w:val="Text"/>
      </w:pPr>
      <w:r w:rsidRPr="00CB00E0">
        <w:t>Traffic volume is</w:t>
      </w:r>
      <w:r>
        <w:t xml:space="preserve"> often the key determinant in the calculation of benefits for road infrastructure projects. Rural roads in Queensland, Australia often have low volumes of traffic. The cost benefit analysis (CBA) is a key input into the decision to fund road upgrades </w:t>
      </w:r>
      <w:r w:rsidRPr="00084F8F">
        <w:t>(Infrastructure Australia 2013).</w:t>
      </w:r>
      <w:r>
        <w:t xml:space="preserve"> </w:t>
      </w:r>
      <w:r w:rsidR="00DF305E">
        <w:t>Projects are often not funded, i</w:t>
      </w:r>
      <w:r>
        <w:t xml:space="preserve">f </w:t>
      </w:r>
      <w:r w:rsidR="006B31FB">
        <w:t xml:space="preserve">the estimated </w:t>
      </w:r>
      <w:r>
        <w:t xml:space="preserve">discounted benefits do not exceed </w:t>
      </w:r>
      <w:r w:rsidR="006B31FB">
        <w:t xml:space="preserve">the estimated </w:t>
      </w:r>
      <w:r>
        <w:t>discounted costs</w:t>
      </w:r>
      <w:r w:rsidR="006B31FB">
        <w:t xml:space="preserve"> of the project</w:t>
      </w:r>
      <w:r>
        <w:t>. The benefits of rural bridge upgrades are less sensitive to traffic volume than most other</w:t>
      </w:r>
      <w:r w:rsidR="00D55F63">
        <w:t xml:space="preserve"> road infrastructure projects</w:t>
      </w:r>
      <w:r>
        <w:t xml:space="preserve">. This paper investigates </w:t>
      </w:r>
      <w:r w:rsidR="00DF305E">
        <w:t xml:space="preserve">other key </w:t>
      </w:r>
      <w:r w:rsidR="002530C0">
        <w:t xml:space="preserve">determinants </w:t>
      </w:r>
      <w:r w:rsidR="00DF305E">
        <w:t>of benefits for</w:t>
      </w:r>
      <w:r>
        <w:t xml:space="preserve"> rural bridges and proposes three approaches to evaluate benefits using these other key </w:t>
      </w:r>
      <w:r w:rsidR="002530C0">
        <w:t>determinants</w:t>
      </w:r>
      <w:r>
        <w:t>.</w:t>
      </w:r>
    </w:p>
    <w:p w:rsidR="002F0BE0" w:rsidRPr="00CB00E0" w:rsidRDefault="00DF305E" w:rsidP="002F0BE0">
      <w:pPr>
        <w:pStyle w:val="Text"/>
      </w:pPr>
      <w:r>
        <w:t>T</w:t>
      </w:r>
      <w:r w:rsidR="002F0BE0">
        <w:t xml:space="preserve">ypical rural bridge upgrades, in Queensland, involve strengthening and reinforcing bridges to maintain or increase load limits, realigning approaches or widening bridges to allow longer multi-combination vehicles, or provide </w:t>
      </w:r>
      <w:r w:rsidR="00D55F63">
        <w:t>upgrade</w:t>
      </w:r>
      <w:r w:rsidR="002F0BE0">
        <w:t>s to i</w:t>
      </w:r>
      <w:r w:rsidR="002530C0">
        <w:t>mprove</w:t>
      </w:r>
      <w:r w:rsidR="002F0BE0">
        <w:t xml:space="preserve"> the flood immunity of the bridge. Some upgrades aim to address all the above mentioned objectives. This paper focuses on the strengthening and reinforcing bridges to maintain or increase load limits. The approaches discussed can also be applied to realigning and widening bridges. Improving flood immunity is beyond the scope of this paper and requires quite a different approach than the ones suggested in this paper. It is possible that the approaches described in this paper can be combined with a flood immunity approach. </w:t>
      </w:r>
    </w:p>
    <w:p w:rsidR="002F0BE0" w:rsidRPr="003D4344" w:rsidRDefault="002F0BE0" w:rsidP="002F0BE0">
      <w:pPr>
        <w:pStyle w:val="Heading1"/>
        <w:numPr>
          <w:ilvl w:val="0"/>
          <w:numId w:val="11"/>
        </w:numPr>
        <w:ind w:left="0" w:hanging="567"/>
      </w:pPr>
      <w:r w:rsidRPr="003D4344">
        <w:t>Relationship between benefits and traffic volume</w:t>
      </w:r>
    </w:p>
    <w:p w:rsidR="002F0BE0" w:rsidRPr="00EB797F" w:rsidRDefault="002F0BE0" w:rsidP="002F0BE0">
      <w:pPr>
        <w:pStyle w:val="Text"/>
      </w:pPr>
      <w:r w:rsidRPr="00EB797F">
        <w:t>Road user costs</w:t>
      </w:r>
      <w:r w:rsidR="00436D95" w:rsidRPr="00436D95">
        <w:rPr>
          <w:sz w:val="18"/>
          <w:szCs w:val="18"/>
          <w:vertAlign w:val="superscript"/>
        </w:rPr>
        <w:t>1</w:t>
      </w:r>
      <w:r w:rsidRPr="00EB797F">
        <w:t xml:space="preserve"> increase proportionately to increases in traffic volume until the road</w:t>
      </w:r>
      <w:r w:rsidR="00D55F63">
        <w:t xml:space="preserve"> shows signs of congestion, once this happens, road user costs </w:t>
      </w:r>
      <w:r w:rsidR="004348E2">
        <w:t>increase at an increasing rate</w:t>
      </w:r>
      <w:r w:rsidRPr="00EB797F">
        <w:t>. The volume capacity ratio (VCR) measures the relationship between the traffic volume and road capacity</w:t>
      </w:r>
      <w:r>
        <w:t>.</w:t>
      </w:r>
      <w:r w:rsidRPr="00EB797F">
        <w:t xml:space="preserve"> The traffic volume is often measured in passenger car units (PCU) and road capacity is determined by the model road state (MRS) of the road</w:t>
      </w:r>
      <w:r>
        <w:t xml:space="preserve"> </w:t>
      </w:r>
      <w:r w:rsidRPr="00431009">
        <w:t>(TMR 2011).</w:t>
      </w:r>
      <w:r w:rsidRPr="00EB797F">
        <w:t xml:space="preserve"> PCUs factor the impact vehicles have on congestion</w:t>
      </w:r>
      <w:r w:rsidR="00127D77">
        <w:t>,</w:t>
      </w:r>
      <w:r w:rsidR="002530C0">
        <w:t xml:space="preserve"> </w:t>
      </w:r>
      <w:r w:rsidR="00127D77">
        <w:t xml:space="preserve">which is </w:t>
      </w:r>
      <w:r w:rsidR="002530C0">
        <w:t xml:space="preserve">measured </w:t>
      </w:r>
      <w:r w:rsidR="002530C0" w:rsidRPr="00EB797F">
        <w:t>in</w:t>
      </w:r>
      <w:r w:rsidR="00127D77">
        <w:t xml:space="preserve"> car equivalents</w:t>
      </w:r>
      <w:r w:rsidRPr="00EB797F">
        <w:t xml:space="preserve">. Cars are equivalent to one PCU, while other larger vehicles have a PCU greater than one. PCU is also influenced by the gradient of the road, </w:t>
      </w:r>
      <w:r w:rsidR="009D50A2">
        <w:t>the steepness of</w:t>
      </w:r>
      <w:r w:rsidR="00A75A7E">
        <w:t xml:space="preserve"> the road </w:t>
      </w:r>
      <w:r w:rsidR="009D50A2">
        <w:t xml:space="preserve">and </w:t>
      </w:r>
      <w:r w:rsidR="00A75A7E">
        <w:t>the PCU per vehicle</w:t>
      </w:r>
      <w:r w:rsidR="009D50A2">
        <w:t xml:space="preserve"> are directly related, this is especially true for larger heavy vehicles (Arkatkar and Arasan 2010)</w:t>
      </w:r>
      <w:r w:rsidRPr="00EB797F">
        <w:t xml:space="preserve">. MRS is determined by the </w:t>
      </w:r>
      <w:r w:rsidRPr="00EB797F">
        <w:lastRenderedPageBreak/>
        <w:t xml:space="preserve">width and the number of carriageways of the road. </w:t>
      </w:r>
      <w:r>
        <w:t>Operating speed is assumed unhindered by other traffic on the road until a particular VCR is reached, for m</w:t>
      </w:r>
      <w:r w:rsidR="00127D77">
        <w:t>o</w:t>
      </w:r>
      <w:r>
        <w:t>torways this VCR is 0.4, for other roads with less lanes this value is much lower (</w:t>
      </w:r>
      <w:r w:rsidRPr="00431009">
        <w:t>Austroads 2005).</w:t>
      </w:r>
      <w:r>
        <w:t xml:space="preserve"> Speed is assumed to gradually decrease until the VCR</w:t>
      </w:r>
      <w:r w:rsidR="009D50A2">
        <w:t xml:space="preserve"> is 1, VCRs of greater than 1 are</w:t>
      </w:r>
      <w:r>
        <w:t xml:space="preserve"> expected to cause operating speeds to drop dramatically and hence the road user costs to increase dramatically. New infrastructure that increases capacity so that the VCR falls back below 1 will have very high road user</w:t>
      </w:r>
      <w:r w:rsidR="004348E2">
        <w:t xml:space="preserve"> cost savings (benefits)</w:t>
      </w:r>
      <w:r>
        <w:t xml:space="preserve">. This relationship is presented in Figure 1. </w:t>
      </w:r>
    </w:p>
    <w:p w:rsidR="002F0BE0" w:rsidRDefault="002F0BE0" w:rsidP="002F0BE0">
      <w:pPr>
        <w:pStyle w:val="Text"/>
      </w:pPr>
      <w:r>
        <w:rPr>
          <w:noProof/>
          <w:lang w:val="en-AU" w:eastAsia="en-AU"/>
        </w:rPr>
        <w:drawing>
          <wp:inline distT="0" distB="0" distL="0" distR="0" wp14:anchorId="69D02A8D" wp14:editId="71FD60E0">
            <wp:extent cx="5616575" cy="4094162"/>
            <wp:effectExtent l="0" t="0" r="3175" b="1905"/>
            <wp:docPr id="17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3"/>
                    <pic:cNvPicPr>
                      <a:picLocks noChangeAspect="1" noChangeArrowheads="1"/>
                    </pic:cNvPicPr>
                  </pic:nvPicPr>
                  <pic:blipFill>
                    <a:blip r:embed="rId7" cstate="print"/>
                    <a:srcRect/>
                    <a:stretch>
                      <a:fillRect/>
                    </a:stretch>
                  </pic:blipFill>
                  <pic:spPr bwMode="auto">
                    <a:xfrm>
                      <a:off x="0" y="0"/>
                      <a:ext cx="5616575" cy="4094162"/>
                    </a:xfrm>
                    <a:prstGeom prst="rect">
                      <a:avLst/>
                    </a:prstGeom>
                    <a:noFill/>
                    <a:ln w="9525">
                      <a:noFill/>
                      <a:miter lim="800000"/>
                      <a:headEnd/>
                      <a:tailEnd/>
                    </a:ln>
                  </pic:spPr>
                </pic:pic>
              </a:graphicData>
            </a:graphic>
          </wp:inline>
        </w:drawing>
      </w:r>
    </w:p>
    <w:p w:rsidR="002F0BE0" w:rsidRPr="00095397" w:rsidRDefault="002F0BE0" w:rsidP="002F0BE0">
      <w:pPr>
        <w:pStyle w:val="Text"/>
        <w:rPr>
          <w:b/>
        </w:rPr>
      </w:pPr>
      <w:r w:rsidRPr="00095397">
        <w:rPr>
          <w:b/>
        </w:rPr>
        <w:t>Figure 1: Relationship between benefits and volume capacity ratio</w:t>
      </w:r>
    </w:p>
    <w:p w:rsidR="002F0BE0" w:rsidRDefault="002F0BE0" w:rsidP="002F0BE0">
      <w:pPr>
        <w:pStyle w:val="Text"/>
      </w:pPr>
      <w:r w:rsidRPr="00DF19BA">
        <w:t>For a low volume road</w:t>
      </w:r>
      <w:r>
        <w:t>,</w:t>
      </w:r>
      <w:r w:rsidRPr="00DF19BA">
        <w:t xml:space="preserve"> the VCR will be low in the base case</w:t>
      </w:r>
      <w:r w:rsidR="00EA4295" w:rsidRPr="00EA4295">
        <w:rPr>
          <w:sz w:val="18"/>
          <w:szCs w:val="18"/>
          <w:vertAlign w:val="superscript"/>
        </w:rPr>
        <w:t>2</w:t>
      </w:r>
      <w:r w:rsidRPr="00DF19BA">
        <w:t>, hence the benefits will be low. For bridge upgrades, benefits are less dependent on traffic volume and more dependent on other factors. These factors include</w:t>
      </w:r>
      <w:r>
        <w:t>:</w:t>
      </w:r>
    </w:p>
    <w:p w:rsidR="002F0BE0" w:rsidRPr="00095397" w:rsidRDefault="002F0BE0" w:rsidP="002F0BE0">
      <w:pPr>
        <w:pStyle w:val="ListParagraph"/>
        <w:numPr>
          <w:ilvl w:val="0"/>
          <w:numId w:val="12"/>
        </w:numPr>
        <w:ind w:left="0" w:hanging="284"/>
      </w:pPr>
      <w:r w:rsidRPr="00095397">
        <w:t xml:space="preserve">current and future load </w:t>
      </w:r>
      <w:r w:rsidR="00127D77">
        <w:t xml:space="preserve">limit </w:t>
      </w:r>
      <w:r w:rsidRPr="00095397">
        <w:t>of the bridge</w:t>
      </w:r>
    </w:p>
    <w:p w:rsidR="002F0BE0" w:rsidRPr="00095397" w:rsidRDefault="002F0BE0" w:rsidP="002F0BE0">
      <w:pPr>
        <w:pStyle w:val="ListParagraph"/>
        <w:numPr>
          <w:ilvl w:val="0"/>
          <w:numId w:val="12"/>
        </w:numPr>
        <w:ind w:left="0" w:hanging="284"/>
      </w:pPr>
      <w:r w:rsidRPr="00095397">
        <w:t xml:space="preserve">costs of maintaining </w:t>
      </w:r>
      <w:r w:rsidR="00F96755">
        <w:t xml:space="preserve">the </w:t>
      </w:r>
      <w:r w:rsidRPr="00095397">
        <w:t>existing bridge</w:t>
      </w:r>
    </w:p>
    <w:p w:rsidR="002F0BE0" w:rsidRPr="00095397" w:rsidRDefault="002F0BE0" w:rsidP="002F0BE0">
      <w:pPr>
        <w:pStyle w:val="ListParagraph"/>
        <w:numPr>
          <w:ilvl w:val="0"/>
          <w:numId w:val="12"/>
        </w:numPr>
        <w:ind w:left="0" w:hanging="284"/>
      </w:pPr>
      <w:r w:rsidRPr="00095397">
        <w:t>the number of vehicles subject to load limits</w:t>
      </w:r>
    </w:p>
    <w:p w:rsidR="002F0BE0" w:rsidRPr="00095397" w:rsidRDefault="002F0BE0" w:rsidP="002F0BE0">
      <w:pPr>
        <w:pStyle w:val="ListParagraph"/>
        <w:numPr>
          <w:ilvl w:val="0"/>
          <w:numId w:val="12"/>
        </w:numPr>
        <w:ind w:left="0" w:hanging="284"/>
      </w:pPr>
      <w:r w:rsidRPr="00095397">
        <w:t>the availability and length of alternative routes</w:t>
      </w:r>
    </w:p>
    <w:p w:rsidR="002F0BE0" w:rsidRPr="00095397" w:rsidRDefault="002F0BE0" w:rsidP="002F0BE0">
      <w:pPr>
        <w:pStyle w:val="ListParagraph"/>
        <w:numPr>
          <w:ilvl w:val="0"/>
          <w:numId w:val="12"/>
        </w:numPr>
        <w:ind w:left="0" w:hanging="284"/>
      </w:pPr>
      <w:r w:rsidRPr="00095397">
        <w:lastRenderedPageBreak/>
        <w:t>the distance between the origin and destination of vehicles</w:t>
      </w:r>
    </w:p>
    <w:p w:rsidR="002F0BE0" w:rsidRPr="00095397" w:rsidRDefault="002F0BE0" w:rsidP="002F0BE0">
      <w:pPr>
        <w:pStyle w:val="ListParagraph"/>
        <w:numPr>
          <w:ilvl w:val="0"/>
          <w:numId w:val="12"/>
        </w:numPr>
        <w:ind w:left="0" w:hanging="284"/>
      </w:pPr>
      <w:r w:rsidRPr="00095397">
        <w:t xml:space="preserve">the frequency of flooding on </w:t>
      </w:r>
      <w:r w:rsidR="00F96755">
        <w:t xml:space="preserve">the </w:t>
      </w:r>
      <w:r w:rsidRPr="00095397">
        <w:t>original route</w:t>
      </w:r>
      <w:r w:rsidR="00EA4295" w:rsidRPr="00EA4295">
        <w:rPr>
          <w:sz w:val="18"/>
          <w:szCs w:val="18"/>
          <w:vertAlign w:val="superscript"/>
        </w:rPr>
        <w:t>3</w:t>
      </w:r>
      <w:r w:rsidRPr="00095397">
        <w:t xml:space="preserve"> and alternative routes. </w:t>
      </w:r>
    </w:p>
    <w:p w:rsidR="002F0BE0" w:rsidRPr="00095397" w:rsidRDefault="002F0BE0" w:rsidP="002F0BE0">
      <w:pPr>
        <w:pStyle w:val="Text"/>
      </w:pPr>
      <w:r w:rsidRPr="00095397">
        <w:t>Rural roads often have older infrastructure that cannot handle new larger vehicles or cannot be sufficiently maintained to carry these vehicles; costs of maintaining older bridges to current safety standards is also likely to be high (Frangopol et al., 1997). Alternative routes are often long and of poor standard. These routes ma</w:t>
      </w:r>
      <w:r w:rsidR="00941249">
        <w:t>y also have infrastructure that will eventually require load restrictions</w:t>
      </w:r>
      <w:r w:rsidRPr="00095397">
        <w:t>. Rural roads tend to have a high percentage of heavy vehicles compared to higher volume roads</w:t>
      </w:r>
      <w:r w:rsidR="00527096">
        <w:t xml:space="preserve"> </w:t>
      </w:r>
      <w:r w:rsidR="00F84A65" w:rsidRPr="00F84A65">
        <w:t>(Australasian College of Road Safety 2012</w:t>
      </w:r>
      <w:r w:rsidR="00527096" w:rsidRPr="00F84A65">
        <w:t>)</w:t>
      </w:r>
      <w:r w:rsidRPr="00F84A65">
        <w:t>.</w:t>
      </w:r>
      <w:r w:rsidRPr="00527096">
        <w:rPr>
          <w:color w:val="FF0000"/>
        </w:rPr>
        <w:t xml:space="preserve"> </w:t>
      </w:r>
      <w:r w:rsidRPr="00095397">
        <w:t>Upgrading to cater for heavy vehicles will have minimal benefits for light vehicles. Light vehicles may even experience dis-benefits if the heavy vehicles cause disruption to the traffic flow along the original route. Flooding, particularly in Queensland, may cause closures</w:t>
      </w:r>
      <w:r w:rsidR="00127D77">
        <w:t xml:space="preserve"> across the network</w:t>
      </w:r>
      <w:r w:rsidRPr="00095397">
        <w:t>. Th</w:t>
      </w:r>
      <w:r w:rsidR="00941249">
        <w:t>is will affect both the</w:t>
      </w:r>
      <w:r w:rsidRPr="00095397">
        <w:t xml:space="preserve"> bridge </w:t>
      </w:r>
      <w:r w:rsidR="00941249">
        <w:t xml:space="preserve">proposed </w:t>
      </w:r>
      <w:r w:rsidRPr="00095397">
        <w:t>to be upgraded as well as the possible alternative routes.</w:t>
      </w:r>
    </w:p>
    <w:p w:rsidR="002F0BE0" w:rsidRPr="003D4344" w:rsidRDefault="002F0BE0" w:rsidP="002F0BE0">
      <w:pPr>
        <w:pStyle w:val="Heading1"/>
        <w:numPr>
          <w:ilvl w:val="0"/>
          <w:numId w:val="11"/>
        </w:numPr>
        <w:ind w:left="0" w:hanging="567"/>
      </w:pPr>
      <w:r w:rsidRPr="003D4344">
        <w:t>Proposed Solutions</w:t>
      </w:r>
    </w:p>
    <w:p w:rsidR="002F0BE0" w:rsidRDefault="002F0BE0" w:rsidP="002F0BE0">
      <w:pPr>
        <w:pStyle w:val="Text"/>
      </w:pPr>
      <w:r>
        <w:t>This paper proposes three approaches to evaluate the benefits for upgrading rural bridges. These approaches are:</w:t>
      </w:r>
    </w:p>
    <w:p w:rsidR="002F0BE0" w:rsidRPr="00095397" w:rsidRDefault="002F0BE0" w:rsidP="002F0BE0">
      <w:pPr>
        <w:pStyle w:val="ListParagraph"/>
        <w:numPr>
          <w:ilvl w:val="0"/>
          <w:numId w:val="12"/>
        </w:numPr>
        <w:ind w:left="0" w:hanging="284"/>
      </w:pPr>
      <w:r w:rsidRPr="00095397">
        <w:t>‘divert to avoid the bridge’ approach</w:t>
      </w:r>
    </w:p>
    <w:p w:rsidR="002F0BE0" w:rsidRPr="00095397" w:rsidRDefault="002F0BE0" w:rsidP="002F0BE0">
      <w:pPr>
        <w:pStyle w:val="ListParagraph"/>
        <w:numPr>
          <w:ilvl w:val="0"/>
          <w:numId w:val="12"/>
        </w:numPr>
        <w:ind w:left="0" w:hanging="284"/>
      </w:pPr>
      <w:r w:rsidRPr="00095397">
        <w:t>‘use of smaller vehicles’ approach</w:t>
      </w:r>
    </w:p>
    <w:p w:rsidR="002F0BE0" w:rsidRPr="00095397" w:rsidRDefault="00941249" w:rsidP="002F0BE0">
      <w:pPr>
        <w:pStyle w:val="ListParagraph"/>
        <w:numPr>
          <w:ilvl w:val="0"/>
          <w:numId w:val="12"/>
        </w:numPr>
        <w:ind w:left="0" w:hanging="284"/>
      </w:pPr>
      <w:r>
        <w:t>combination of ‘divert to avoid the bridge’</w:t>
      </w:r>
      <w:r w:rsidR="002F0BE0" w:rsidRPr="00095397">
        <w:t xml:space="preserve"> and </w:t>
      </w:r>
      <w:r>
        <w:t xml:space="preserve">‘use of </w:t>
      </w:r>
      <w:r w:rsidR="002F0BE0" w:rsidRPr="00095397">
        <w:t>smaller vehicles</w:t>
      </w:r>
      <w:r>
        <w:t>’</w:t>
      </w:r>
      <w:r w:rsidR="002F0BE0" w:rsidRPr="00095397">
        <w:t xml:space="preserve"> approaches. </w:t>
      </w:r>
    </w:p>
    <w:p w:rsidR="002F0BE0" w:rsidRPr="00F17FD0" w:rsidRDefault="002F0BE0" w:rsidP="002F0BE0">
      <w:pPr>
        <w:pStyle w:val="Text"/>
      </w:pPr>
      <w:r>
        <w:t>If a bridge is currently load</w:t>
      </w:r>
      <w:r w:rsidRPr="00F17FD0">
        <w:t xml:space="preserve"> restricted</w:t>
      </w:r>
      <w:r>
        <w:t>,</w:t>
      </w:r>
      <w:r w:rsidR="00941249">
        <w:t xml:space="preserve"> information can be obtained</w:t>
      </w:r>
      <w:r w:rsidRPr="00F17FD0">
        <w:t xml:space="preserve"> regarding the behaviour of the heavy vehicle user</w:t>
      </w:r>
      <w:r>
        <w:t>s. With this information,</w:t>
      </w:r>
      <w:r w:rsidRPr="00F17FD0">
        <w:t xml:space="preserve"> one of the three approaches can be applied. If the bridge is not expected to be load restricted for a few more years, heavy vehicle road user behaviour needs to be anticipated. This road user behaviour can be ascertained in a number of ways. If the time</w:t>
      </w:r>
      <w:r>
        <w:t xml:space="preserve"> and budget exists, a survey of </w:t>
      </w:r>
      <w:r w:rsidRPr="00F17FD0">
        <w:t>anticipated heavy vehicles operators likely to be affected can be conducted. If a survey is not possible, data from other similar project sites where load limits have</w:t>
      </w:r>
      <w:r>
        <w:t xml:space="preserve"> been</w:t>
      </w:r>
      <w:r w:rsidRPr="00F17FD0">
        <w:t xml:space="preserve"> implemented can be collected. </w:t>
      </w:r>
    </w:p>
    <w:p w:rsidR="002F0BE0" w:rsidRDefault="002F0BE0" w:rsidP="002F0BE0">
      <w:pPr>
        <w:pStyle w:val="Text"/>
      </w:pPr>
      <w:r>
        <w:t xml:space="preserve">The approaches suggested in this paper focus purely around evaluating reductions in road user costs. Reductions in transport agency costs is unaffected by the proposed approaches, therefore is not discussed under any of the approaches.   </w:t>
      </w:r>
    </w:p>
    <w:p w:rsidR="004348E2" w:rsidRPr="00116FC3" w:rsidRDefault="004348E2" w:rsidP="002F0BE0">
      <w:pPr>
        <w:pStyle w:val="Text"/>
      </w:pPr>
    </w:p>
    <w:p w:rsidR="002F0BE0" w:rsidRPr="00430E34" w:rsidRDefault="002F0BE0" w:rsidP="002F0BE0">
      <w:pPr>
        <w:pStyle w:val="Heading2"/>
        <w:numPr>
          <w:ilvl w:val="1"/>
          <w:numId w:val="11"/>
        </w:numPr>
        <w:ind w:left="0" w:hanging="567"/>
      </w:pPr>
      <w:r w:rsidRPr="00430E34">
        <w:lastRenderedPageBreak/>
        <w:t>Diverting to avoid bridge</w:t>
      </w:r>
    </w:p>
    <w:p w:rsidR="002F0BE0" w:rsidRDefault="00127D77" w:rsidP="006B31FB">
      <w:pPr>
        <w:pStyle w:val="Text"/>
      </w:pPr>
      <w:r>
        <w:t xml:space="preserve">The </w:t>
      </w:r>
      <w:r w:rsidR="00F96755">
        <w:t>‘d</w:t>
      </w:r>
      <w:r w:rsidR="002F0BE0">
        <w:t xml:space="preserve">iverting to avoid bridge’ approach is built around the premise that operators of vehicles </w:t>
      </w:r>
      <w:r w:rsidR="00ED38AB">
        <w:t xml:space="preserve">which are </w:t>
      </w:r>
      <w:r w:rsidR="002F0BE0">
        <w:t xml:space="preserve">in excess of the load limits will divert to avoid the load limited bridge. This approach requires information regarding </w:t>
      </w:r>
      <w:r w:rsidR="00F96755">
        <w:t>viable diversion routes. Origin-</w:t>
      </w:r>
      <w:r w:rsidR="002F0BE0">
        <w:t>destination information of heavy vehicles would be a useful input to determin</w:t>
      </w:r>
      <w:r w:rsidR="00ED38AB">
        <w:t>e</w:t>
      </w:r>
      <w:r w:rsidR="002F0BE0">
        <w:t xml:space="preserve"> which routes are more likely to be utilised. If the distance between the origin and destination is long, a longer diversion route may be a more desirable alternative if the net addition</w:t>
      </w:r>
      <w:r w:rsidR="00E80BEE">
        <w:t>al distance travelled is shorter</w:t>
      </w:r>
      <w:r w:rsidR="002F0BE0">
        <w:t>.</w:t>
      </w:r>
      <w:r w:rsidR="00F96755">
        <w:t xml:space="preserve"> Figure 2 </w:t>
      </w:r>
      <w:r w:rsidR="002715B6">
        <w:t xml:space="preserve">illustrates the </w:t>
      </w:r>
      <w:r w:rsidR="00F96755">
        <w:t>possible</w:t>
      </w:r>
      <w:r w:rsidR="002715B6">
        <w:t xml:space="preserve"> types of diversion routes that might be available to operators of vehicles in excess of load limits.</w:t>
      </w:r>
    </w:p>
    <w:p w:rsidR="002F0BE0" w:rsidRDefault="002715B6" w:rsidP="00227184">
      <w:pPr>
        <w:pStyle w:val="Text"/>
      </w:pPr>
      <w:r>
        <w:rPr>
          <w:noProof/>
          <w:lang w:val="en-AU" w:eastAsia="en-AU"/>
        </w:rPr>
        <w:drawing>
          <wp:inline distT="0" distB="0" distL="0" distR="0">
            <wp:extent cx="5506278"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726" cy="1832602"/>
                    </a:xfrm>
                    <a:prstGeom prst="rect">
                      <a:avLst/>
                    </a:prstGeom>
                    <a:noFill/>
                    <a:ln>
                      <a:noFill/>
                    </a:ln>
                  </pic:spPr>
                </pic:pic>
              </a:graphicData>
            </a:graphic>
          </wp:inline>
        </w:drawing>
      </w:r>
    </w:p>
    <w:p w:rsidR="002F0BE0" w:rsidRPr="003321EA" w:rsidRDefault="002F0BE0" w:rsidP="003321EA">
      <w:pPr>
        <w:spacing w:after="240" w:line="300" w:lineRule="auto"/>
        <w:rPr>
          <w:b/>
          <w:sz w:val="24"/>
        </w:rPr>
      </w:pPr>
      <w:r w:rsidRPr="003321EA">
        <w:rPr>
          <w:b/>
          <w:sz w:val="24"/>
        </w:rPr>
        <w:t>Figure 2: Selection of Diversion Routes Dependent on Destination</w:t>
      </w:r>
    </w:p>
    <w:p w:rsidR="00227184" w:rsidRDefault="002F0BE0" w:rsidP="002F0BE0">
      <w:pPr>
        <w:pStyle w:val="Text"/>
      </w:pPr>
      <w:r>
        <w:t>Heavy vehicles travelling between A and B only have the option of taking diversion route WX to avoid the load restricted bridge. Heavy vehicles travelling between A and C can choose between diversion routes WX or YZ. If the distance between A and C is 400km and the distance of AYZC is 520km and the distance of AWXC is 580km, heavy vehicle users can be assumed to choose the YZ diversion route if the quality and operating speeds of YZ is very similar to AC. If YZ is of a lower quality and operating speeds are lower, diversion route WX may still be selected. The road user cost savings can be calculated by subtracting the costs of travelling along the original route from the costs of taking a diversion route</w:t>
      </w:r>
      <w:r w:rsidR="00ED38AB">
        <w:t xml:space="preserve"> </w:t>
      </w:r>
      <w:r w:rsidR="000F1A08">
        <w:t>for the section of the original route not travelled when the diversion route is taken</w:t>
      </w:r>
      <w:r w:rsidR="000F1A08" w:rsidRPr="00EA4295">
        <w:rPr>
          <w:sz w:val="18"/>
          <w:szCs w:val="18"/>
          <w:vertAlign w:val="superscript"/>
        </w:rPr>
        <w:t>4</w:t>
      </w:r>
      <w:r w:rsidR="000F1A08">
        <w:t>.</w:t>
      </w:r>
      <w:r>
        <w:t xml:space="preserve"> These savings are multiplied by the number of heavy vehicles affected by the loa</w:t>
      </w:r>
      <w:r w:rsidR="0005664A">
        <w:t>d restrictions and an annualisation</w:t>
      </w:r>
      <w:r w:rsidR="000F1A08">
        <w:t xml:space="preserve"> factor to determine the cost</w:t>
      </w:r>
      <w:r>
        <w:t xml:space="preserve"> savings for the year. This relationship is expressed in Equation 1.</w:t>
      </w:r>
    </w:p>
    <w:p w:rsidR="00227184" w:rsidRDefault="00227184" w:rsidP="002F0BE0">
      <w:pPr>
        <w:pStyle w:val="Text"/>
      </w:pPr>
    </w:p>
    <w:p w:rsidR="00227184" w:rsidRDefault="00227184" w:rsidP="002F0BE0">
      <w:pPr>
        <w:pStyle w:val="Text"/>
      </w:pPr>
    </w:p>
    <w:p w:rsidR="002F0BE0" w:rsidRPr="00095397" w:rsidRDefault="002F0BE0" w:rsidP="002F0BE0">
      <w:pPr>
        <w:pStyle w:val="Text"/>
      </w:pPr>
      <m:oMath>
        <m:r>
          <m:rPr>
            <m:nor/>
          </m:rPr>
          <w:lastRenderedPageBreak/>
          <m:t>(</m:t>
        </m:r>
        <m:sSub>
          <m:sSubPr>
            <m:ctrlPr>
              <w:rPr>
                <w:rFonts w:ascii="Cambria Math" w:hAnsi="Cambria Math"/>
              </w:rPr>
            </m:ctrlPr>
          </m:sSubPr>
          <m:e>
            <m:r>
              <m:rPr>
                <m:nor/>
              </m:rPr>
              <m:t>RUC</m:t>
            </m:r>
          </m:e>
          <m:sub>
            <m:r>
              <m:rPr>
                <m:nor/>
              </m:rPr>
              <m:t>DR</m:t>
            </m:r>
          </m:sub>
        </m:sSub>
        <m:r>
          <m:rPr>
            <m:nor/>
          </m:rPr>
          <m:t>×</m:t>
        </m:r>
        <m:sSub>
          <m:sSubPr>
            <m:ctrlPr>
              <w:rPr>
                <w:rFonts w:ascii="Cambria Math" w:hAnsi="Cambria Math"/>
              </w:rPr>
            </m:ctrlPr>
          </m:sSubPr>
          <m:e>
            <m:r>
              <m:rPr>
                <m:nor/>
              </m:rPr>
              <m:t>SL</m:t>
            </m:r>
          </m:e>
          <m:sub>
            <m:r>
              <m:rPr>
                <m:nor/>
              </m:rPr>
              <m:t>DR</m:t>
            </m:r>
          </m:sub>
        </m:sSub>
        <m:r>
          <m:rPr>
            <m:nor/>
          </m:rPr>
          <m:t>-</m:t>
        </m:r>
        <m:sSub>
          <m:sSubPr>
            <m:ctrlPr>
              <w:rPr>
                <w:rFonts w:ascii="Cambria Math" w:hAnsi="Cambria Math"/>
              </w:rPr>
            </m:ctrlPr>
          </m:sSubPr>
          <m:e>
            <m:r>
              <m:rPr>
                <m:nor/>
              </m:rPr>
              <m:t>RUC</m:t>
            </m:r>
          </m:e>
          <m:sub>
            <m:r>
              <m:rPr>
                <m:nor/>
              </m:rPr>
              <m:t>OR</m:t>
            </m:r>
          </m:sub>
        </m:sSub>
        <m:r>
          <m:rPr>
            <m:nor/>
          </m:rPr>
          <m:t>×</m:t>
        </m:r>
        <m:sSub>
          <m:sSubPr>
            <m:ctrlPr>
              <w:rPr>
                <w:rFonts w:ascii="Cambria Math" w:hAnsi="Cambria Math"/>
              </w:rPr>
            </m:ctrlPr>
          </m:sSubPr>
          <m:e>
            <m:r>
              <m:rPr>
                <m:nor/>
              </m:rPr>
              <m:t>SL</m:t>
            </m:r>
          </m:e>
          <m:sub>
            <m:r>
              <m:rPr>
                <m:nor/>
              </m:rPr>
              <m:t>OR</m:t>
            </m:r>
          </m:sub>
        </m:sSub>
        <m:r>
          <m:rPr>
            <m:nor/>
          </m:rPr>
          <m:t>)×</m:t>
        </m:r>
        <m:sSub>
          <m:sSubPr>
            <m:ctrlPr>
              <w:rPr>
                <w:rFonts w:ascii="Cambria Math" w:hAnsi="Cambria Math"/>
              </w:rPr>
            </m:ctrlPr>
          </m:sSubPr>
          <m:e>
            <m:r>
              <m:rPr>
                <m:nor/>
              </m:rPr>
              <m:t>HV</m:t>
            </m:r>
          </m:e>
          <m:sub>
            <m:r>
              <m:rPr>
                <m:nor/>
              </m:rPr>
              <m:t>ALR</m:t>
            </m:r>
          </m:sub>
        </m:sSub>
        <m:r>
          <m:rPr>
            <m:nor/>
          </m:rPr>
          <m:t>×AF</m:t>
        </m:r>
      </m:oMath>
      <w:r w:rsidRPr="00095397">
        <w:t xml:space="preserve">                                                               (1)</w:t>
      </w:r>
    </w:p>
    <w:p w:rsidR="002F0BE0" w:rsidRPr="00095397" w:rsidRDefault="002F0BE0" w:rsidP="002F0BE0">
      <w:pPr>
        <w:pStyle w:val="Text"/>
      </w:pPr>
      <w:r w:rsidRPr="00095397">
        <w:t>Where:</w:t>
      </w:r>
    </w:p>
    <w:p w:rsidR="002F0BE0" w:rsidRDefault="002F0BE0" w:rsidP="002F0BE0">
      <w:pPr>
        <w:pStyle w:val="Text"/>
      </w:pPr>
      <w:r>
        <w:t>RUC</w:t>
      </w:r>
      <w:r w:rsidRPr="006A204D">
        <w:rPr>
          <w:vertAlign w:val="subscript"/>
        </w:rPr>
        <w:t xml:space="preserve">DR/OR </w:t>
      </w:r>
      <w:r>
        <w:t>= Road user costs for smaller and larger freight vehicles</w:t>
      </w:r>
    </w:p>
    <w:p w:rsidR="002F0BE0" w:rsidRDefault="002F0BE0" w:rsidP="002F0BE0">
      <w:pPr>
        <w:pStyle w:val="Text"/>
      </w:pPr>
      <w:r>
        <w:t>HV</w:t>
      </w:r>
      <w:r w:rsidRPr="006A204D">
        <w:rPr>
          <w:vertAlign w:val="subscript"/>
        </w:rPr>
        <w:t>ALR</w:t>
      </w:r>
      <w:r>
        <w:t xml:space="preserve"> = Number of heavy vehicles using the diversion route</w:t>
      </w:r>
    </w:p>
    <w:p w:rsidR="002F0BE0" w:rsidRDefault="002F0BE0" w:rsidP="006A204D">
      <w:pPr>
        <w:pStyle w:val="Text"/>
        <w:ind w:left="1134" w:hanging="1134"/>
      </w:pPr>
      <w:r>
        <w:t>SL</w:t>
      </w:r>
      <w:r w:rsidRPr="006A204D">
        <w:rPr>
          <w:vertAlign w:val="subscript"/>
        </w:rPr>
        <w:t xml:space="preserve">DR/OR </w:t>
      </w:r>
      <w:r>
        <w:t>=</w:t>
      </w:r>
      <w:r w:rsidR="000F1A08">
        <w:t xml:space="preserve"> </w:t>
      </w:r>
      <w:r>
        <w:t>Section length of the diversion route and original route</w:t>
      </w:r>
      <w:r w:rsidR="000F1A08">
        <w:t xml:space="preserve"> for the section of the original route not travelled when the diversion route is taken</w:t>
      </w:r>
    </w:p>
    <w:p w:rsidR="002F0BE0" w:rsidRPr="00F3676E" w:rsidRDefault="002F0BE0" w:rsidP="002F0BE0">
      <w:pPr>
        <w:pStyle w:val="Text"/>
      </w:pPr>
      <w:r>
        <w:t>AF = Annualisation factor (365 days is normally used for rural roads)</w:t>
      </w:r>
    </w:p>
    <w:p w:rsidR="002F0BE0" w:rsidRPr="00116FC3" w:rsidRDefault="002F0BE0" w:rsidP="003321EA">
      <w:pPr>
        <w:pStyle w:val="Text"/>
      </w:pPr>
      <w:r>
        <w:t>Light vehicle users on both the original route and diversion routes may also be affected. Light vehicle users on the diversion route will benefit from the reduction in heavy vehicles while light vehicle users on the original route may dis-benefit from more heavy vehicles but benefit from a safer bridge. These benefits and dis-benefits are expected to be low considering the low traffic volume. The use of the shorter route when the bridge is not load limited will reduce externality costs such as emissions from vehicles</w:t>
      </w:r>
      <w:r w:rsidR="006A204D">
        <w:rPr>
          <w:sz w:val="18"/>
          <w:szCs w:val="18"/>
          <w:vertAlign w:val="superscript"/>
        </w:rPr>
        <w:t>5</w:t>
      </w:r>
      <w:r>
        <w:t xml:space="preserve">, these benefits can be calculated using a formula similar to that presented in Equation 1. </w:t>
      </w:r>
    </w:p>
    <w:p w:rsidR="002F0BE0" w:rsidRPr="00430E34" w:rsidRDefault="002F0BE0" w:rsidP="002F0BE0">
      <w:pPr>
        <w:pStyle w:val="Heading2"/>
        <w:numPr>
          <w:ilvl w:val="1"/>
          <w:numId w:val="11"/>
        </w:numPr>
        <w:ind w:left="0" w:hanging="567"/>
      </w:pPr>
      <w:r w:rsidRPr="00430E34">
        <w:t>Use of smaller vehicles</w:t>
      </w:r>
    </w:p>
    <w:p w:rsidR="002F0BE0" w:rsidRDefault="002F0BE0" w:rsidP="002F0BE0">
      <w:pPr>
        <w:pStyle w:val="Text"/>
      </w:pPr>
      <w:r>
        <w:t>The ‘use of smaller vehicle’ approach is built around the premise that operators of vehicles in excess of the load limits will switch to smaller lighter vehicles. The use of smaller vehicles becomes a possible scenario to analyse if distances between the origin and destination is short or if diversion routes are not viable. If it is assumed that the volume of freight transported is unaffected by the use of small vehicles, the number of vehicles used to transport freight will be higher while load restrictions are in place. An assumption needs to be made regarding how many smaller vehicles are required to carry the freight volume of the lar</w:t>
      </w:r>
      <w:r w:rsidR="0005664A">
        <w:t>ger load restricted</w:t>
      </w:r>
      <w:r>
        <w:t xml:space="preserve"> vehicles. The Transport and Main Roads Cost-benefit Analysis Manual recommends adopting a conversion factor based on mass limits of heavy vehicles</w:t>
      </w:r>
      <w:r w:rsidR="00CC2A23">
        <w:rPr>
          <w:sz w:val="18"/>
          <w:szCs w:val="18"/>
          <w:vertAlign w:val="superscript"/>
        </w:rPr>
        <w:t>6</w:t>
      </w:r>
      <w:r>
        <w:t xml:space="preserve">. </w:t>
      </w:r>
    </w:p>
    <w:p w:rsidR="002F0BE0" w:rsidRDefault="002F0BE0" w:rsidP="002F0BE0">
      <w:pPr>
        <w:pStyle w:val="Text"/>
      </w:pPr>
      <w:r>
        <w:t>The road user cost savings can be calculated by subtracting the cost of operating larger vehicles to transport the freight from the cost of operating smaller vehicles to transport the same quantity of freight, the savings are multiplied by the distance and an annualisation factor. This relationship is expressed in Equation 2.</w:t>
      </w:r>
    </w:p>
    <w:p w:rsidR="00227184" w:rsidRDefault="00227184" w:rsidP="002F0BE0">
      <w:pPr>
        <w:pStyle w:val="Text"/>
      </w:pPr>
    </w:p>
    <w:p w:rsidR="002F0BE0" w:rsidRDefault="002F0BE0" w:rsidP="002F0BE0">
      <w:pPr>
        <w:pStyle w:val="Text"/>
      </w:pPr>
      <m:oMath>
        <m:r>
          <m:rPr>
            <m:nor/>
          </m:rPr>
          <w:lastRenderedPageBreak/>
          <m:t>(</m:t>
        </m:r>
        <m:sSub>
          <m:sSubPr>
            <m:ctrlPr>
              <w:rPr>
                <w:rFonts w:ascii="Cambria Math" w:hAnsi="Cambria Math"/>
              </w:rPr>
            </m:ctrlPr>
          </m:sSubPr>
          <m:e>
            <m:r>
              <m:rPr>
                <m:nor/>
              </m:rPr>
              <m:t>RUC</m:t>
            </m:r>
          </m:e>
          <m:sub>
            <m:r>
              <m:rPr>
                <m:nor/>
              </m:rPr>
              <m:t>T1</m:t>
            </m:r>
          </m:sub>
        </m:sSub>
        <m:r>
          <m:rPr>
            <m:nor/>
          </m:rPr>
          <m:t>×</m:t>
        </m:r>
        <m:sSub>
          <m:sSubPr>
            <m:ctrlPr>
              <w:rPr>
                <w:rFonts w:ascii="Cambria Math" w:hAnsi="Cambria Math"/>
              </w:rPr>
            </m:ctrlPr>
          </m:sSubPr>
          <m:e>
            <m:r>
              <m:rPr>
                <m:nor/>
              </m:rPr>
              <m:t>HV</m:t>
            </m:r>
          </m:e>
          <m:sub>
            <m:r>
              <m:rPr>
                <m:nor/>
              </m:rPr>
              <m:t>T1</m:t>
            </m:r>
          </m:sub>
        </m:sSub>
        <m:r>
          <m:rPr>
            <m:nor/>
          </m:rPr>
          <m:t>-</m:t>
        </m:r>
        <m:sSub>
          <m:sSubPr>
            <m:ctrlPr>
              <w:rPr>
                <w:rFonts w:ascii="Cambria Math" w:hAnsi="Cambria Math"/>
              </w:rPr>
            </m:ctrlPr>
          </m:sSubPr>
          <m:e>
            <m:r>
              <m:rPr>
                <m:nor/>
              </m:rPr>
              <m:t>RUC</m:t>
            </m:r>
          </m:e>
          <m:sub>
            <m:r>
              <m:rPr>
                <m:nor/>
              </m:rPr>
              <m:t>T2</m:t>
            </m:r>
          </m:sub>
        </m:sSub>
        <m:r>
          <m:rPr>
            <m:nor/>
          </m:rPr>
          <m:t>×</m:t>
        </m:r>
        <m:sSub>
          <m:sSubPr>
            <m:ctrlPr>
              <w:rPr>
                <w:rFonts w:ascii="Cambria Math" w:hAnsi="Cambria Math"/>
              </w:rPr>
            </m:ctrlPr>
          </m:sSubPr>
          <m:e>
            <m:r>
              <m:rPr>
                <m:nor/>
              </m:rPr>
              <m:t>HV</m:t>
            </m:r>
          </m:e>
          <m:sub>
            <m:r>
              <m:rPr>
                <m:nor/>
              </m:rPr>
              <m:t>T2</m:t>
            </m:r>
          </m:sub>
        </m:sSub>
        <m:r>
          <m:rPr>
            <m:nor/>
          </m:rPr>
          <m:t>)×SL×AF</m:t>
        </m:r>
      </m:oMath>
      <w:r w:rsidRPr="00095397">
        <w:t xml:space="preserve">                                                                      (2)</w:t>
      </w:r>
    </w:p>
    <w:p w:rsidR="002F0BE0" w:rsidRDefault="002F0BE0" w:rsidP="002F0BE0">
      <w:pPr>
        <w:pStyle w:val="Text"/>
      </w:pPr>
      <w:r>
        <w:t>Where:</w:t>
      </w:r>
    </w:p>
    <w:p w:rsidR="002F0BE0" w:rsidRDefault="002F0BE0" w:rsidP="002F0BE0">
      <w:pPr>
        <w:pStyle w:val="Text"/>
      </w:pPr>
      <w:r>
        <w:t>RUC</w:t>
      </w:r>
      <w:r w:rsidRPr="006A204D">
        <w:rPr>
          <w:vertAlign w:val="subscript"/>
        </w:rPr>
        <w:t xml:space="preserve">T1/T2 </w:t>
      </w:r>
      <w:r>
        <w:t>= Road user costs for smaller and larger freight vehicles</w:t>
      </w:r>
    </w:p>
    <w:p w:rsidR="002F0BE0" w:rsidRDefault="002F0BE0" w:rsidP="002F0BE0">
      <w:pPr>
        <w:pStyle w:val="Text"/>
      </w:pPr>
      <w:r>
        <w:t>HV</w:t>
      </w:r>
      <w:r w:rsidRPr="006A204D">
        <w:rPr>
          <w:vertAlign w:val="subscript"/>
        </w:rPr>
        <w:t xml:space="preserve">T1/T2 </w:t>
      </w:r>
      <w:r>
        <w:t>= Number of smaller and larger freight vehicles</w:t>
      </w:r>
    </w:p>
    <w:p w:rsidR="002F0BE0" w:rsidRDefault="002F0BE0" w:rsidP="002F0BE0">
      <w:pPr>
        <w:pStyle w:val="Text"/>
      </w:pPr>
      <w:r>
        <w:t>SL =Section length or average distance travelled by vehicles</w:t>
      </w:r>
    </w:p>
    <w:p w:rsidR="002F0BE0" w:rsidRDefault="002F0BE0" w:rsidP="002F0BE0">
      <w:pPr>
        <w:pStyle w:val="Text"/>
      </w:pPr>
      <w:r w:rsidRPr="001156FA">
        <w:t>The distance travelled will remain the same and the costs per vehicle w</w:t>
      </w:r>
      <w:r w:rsidR="00707506">
        <w:t>ill</w:t>
      </w:r>
      <w:r w:rsidRPr="001156FA">
        <w:t xml:space="preserve"> be higher but the reduction in</w:t>
      </w:r>
      <w:r>
        <w:t xml:space="preserve"> the</w:t>
      </w:r>
      <w:r w:rsidRPr="001156FA">
        <w:t xml:space="preserve"> total number of vehicles will produce cost savings.</w:t>
      </w:r>
      <w:r>
        <w:t xml:space="preserve"> </w:t>
      </w:r>
    </w:p>
    <w:p w:rsidR="002F0BE0" w:rsidRDefault="002F0BE0" w:rsidP="002F0BE0">
      <w:pPr>
        <w:pStyle w:val="Text"/>
      </w:pPr>
      <w:r>
        <w:t>There is also the possibility that decoupling bays could be located within close proximity of the bridge. If decoupling is a viable alternative, the costs of transporting freight between decoupling bays using smaller vehicles can be used to determine the benefits of upgrading the bridge. Equation 3 contains a possible formula for calculating these costs.</w:t>
      </w:r>
    </w:p>
    <w:p w:rsidR="002F0BE0" w:rsidRPr="00117927" w:rsidRDefault="002F0BE0" w:rsidP="002F0BE0">
      <w:pPr>
        <w:pStyle w:val="Text"/>
      </w:pPr>
      <m:oMath>
        <m:r>
          <m:rPr>
            <m:nor/>
          </m:rPr>
          <m:t>((2×</m:t>
        </m:r>
        <m:sSub>
          <m:sSubPr>
            <m:ctrlPr>
              <w:rPr>
                <w:rFonts w:ascii="Cambria Math" w:hAnsi="Cambria Math"/>
              </w:rPr>
            </m:ctrlPr>
          </m:sSubPr>
          <m:e>
            <m:r>
              <m:rPr>
                <m:nor/>
              </m:rPr>
              <m:t>RUC</m:t>
            </m:r>
          </m:e>
          <m:sub>
            <m:r>
              <m:rPr>
                <m:nor/>
              </m:rPr>
              <m:t>T1</m:t>
            </m:r>
          </m:sub>
        </m:sSub>
        <m:r>
          <m:rPr>
            <m:nor/>
          </m:rPr>
          <m:t>)+</m:t>
        </m:r>
        <m:sSub>
          <m:sSubPr>
            <m:ctrlPr>
              <w:rPr>
                <w:rFonts w:ascii="Cambria Math" w:hAnsi="Cambria Math"/>
              </w:rPr>
            </m:ctrlPr>
          </m:sSubPr>
          <m:e>
            <m:r>
              <m:rPr>
                <m:nor/>
              </m:rPr>
              <m:t>RUC</m:t>
            </m:r>
          </m:e>
          <m:sub>
            <m:r>
              <m:rPr>
                <m:nor/>
              </m:rPr>
              <m:t>PM</m:t>
            </m:r>
          </m:sub>
        </m:sSub>
        <m:r>
          <m:rPr>
            <m:nor/>
          </m:rPr>
          <m:t>-</m:t>
        </m:r>
        <m:sSub>
          <m:sSubPr>
            <m:ctrlPr>
              <w:rPr>
                <w:rFonts w:ascii="Cambria Math" w:hAnsi="Cambria Math"/>
              </w:rPr>
            </m:ctrlPr>
          </m:sSubPr>
          <m:e>
            <m:r>
              <m:rPr>
                <m:nor/>
              </m:rPr>
              <m:t>RUC</m:t>
            </m:r>
          </m:e>
          <m:sub>
            <m:r>
              <m:rPr>
                <m:nor/>
              </m:rPr>
              <m:t>T2</m:t>
            </m:r>
          </m:sub>
        </m:sSub>
        <m:r>
          <m:rPr>
            <m:nor/>
          </m:rPr>
          <m:t>)×</m:t>
        </m:r>
        <m:sSub>
          <m:sSubPr>
            <m:ctrlPr>
              <w:rPr>
                <w:rFonts w:ascii="Cambria Math" w:hAnsi="Cambria Math"/>
              </w:rPr>
            </m:ctrlPr>
          </m:sSubPr>
          <m:e>
            <m:r>
              <m:rPr>
                <m:nor/>
              </m:rPr>
              <m:t>HV</m:t>
            </m:r>
          </m:e>
          <m:sub>
            <m:r>
              <m:rPr>
                <m:nor/>
              </m:rPr>
              <m:t>T2</m:t>
            </m:r>
          </m:sub>
        </m:sSub>
        <m:r>
          <m:rPr>
            <m:sty m:val="p"/>
          </m:rPr>
          <w:rPr>
            <w:rFonts w:ascii="Cambria Math" w:hAnsi="Cambria Math"/>
          </w:rPr>
          <m:t>×</m:t>
        </m:r>
        <m:sSub>
          <m:sSubPr>
            <m:ctrlPr>
              <w:rPr>
                <w:rFonts w:ascii="Cambria Math" w:hAnsi="Cambria Math"/>
              </w:rPr>
            </m:ctrlPr>
          </m:sSubPr>
          <m:e>
            <m:r>
              <m:rPr>
                <m:nor/>
              </m:rPr>
              <m:t>SL</m:t>
            </m:r>
          </m:e>
          <m:sub>
            <m:r>
              <m:rPr>
                <m:nor/>
              </m:rPr>
              <m:t>BDP</m:t>
            </m:r>
          </m:sub>
        </m:sSub>
        <m:r>
          <m:rPr>
            <m:nor/>
          </m:rPr>
          <m:t>×AF</m:t>
        </m:r>
      </m:oMath>
      <w:r w:rsidRPr="00095397">
        <w:t xml:space="preserve">                                                     (3)                                                                 </w:t>
      </w:r>
    </w:p>
    <w:p w:rsidR="002F0BE0" w:rsidRDefault="002F0BE0" w:rsidP="002F0BE0">
      <w:pPr>
        <w:pStyle w:val="Text"/>
      </w:pPr>
      <w:r>
        <w:t>Where:</w:t>
      </w:r>
    </w:p>
    <w:p w:rsidR="002F0BE0" w:rsidRDefault="002F0BE0" w:rsidP="002F0BE0">
      <w:pPr>
        <w:pStyle w:val="Text"/>
      </w:pPr>
      <w:r>
        <w:t>RUC</w:t>
      </w:r>
      <w:r w:rsidRPr="006A204D">
        <w:rPr>
          <w:vertAlign w:val="subscript"/>
        </w:rPr>
        <w:t>PM</w:t>
      </w:r>
      <w:r>
        <w:t xml:space="preserve"> = Road user costs for prime movers</w:t>
      </w:r>
    </w:p>
    <w:p w:rsidR="002F0BE0" w:rsidRDefault="002F0BE0" w:rsidP="002F0BE0">
      <w:pPr>
        <w:pStyle w:val="Text"/>
      </w:pPr>
      <w:r>
        <w:t>SL</w:t>
      </w:r>
      <w:r w:rsidRPr="00707506">
        <w:rPr>
          <w:vertAlign w:val="subscript"/>
        </w:rPr>
        <w:t>BDP</w:t>
      </w:r>
      <w:r>
        <w:t xml:space="preserve"> = Distance between decoupling bays</w:t>
      </w:r>
    </w:p>
    <w:p w:rsidR="002F0BE0" w:rsidRPr="00116FC3" w:rsidRDefault="00245784" w:rsidP="002F0BE0">
      <w:pPr>
        <w:pStyle w:val="Text"/>
      </w:pPr>
      <w:r w:rsidRPr="00B922B7">
        <w:t xml:space="preserve">Equation 3 applies to </w:t>
      </w:r>
      <w:r w:rsidR="00B922B7" w:rsidRPr="00B922B7">
        <w:t>t</w:t>
      </w:r>
      <w:r w:rsidR="002F0BE0" w:rsidRPr="00B922B7">
        <w:t>ype 1 road trains decoupling down to articulated vehicles</w:t>
      </w:r>
      <w:r w:rsidR="00CC2A23">
        <w:rPr>
          <w:sz w:val="18"/>
          <w:szCs w:val="18"/>
          <w:vertAlign w:val="superscript"/>
        </w:rPr>
        <w:t>7</w:t>
      </w:r>
      <w:r w:rsidR="002F0BE0" w:rsidRPr="00B922B7">
        <w:t>.</w:t>
      </w:r>
      <w:r w:rsidR="002F0BE0" w:rsidRPr="00117927">
        <w:t xml:space="preserve"> </w:t>
      </w:r>
      <w:r w:rsidR="002F0BE0">
        <w:t>In the base case, the number of trips between decoupling bays is assumed to double and the prime mover is</w:t>
      </w:r>
      <w:r w:rsidR="00707506">
        <w:t xml:space="preserve"> expected to travel back to collect</w:t>
      </w:r>
      <w:r w:rsidR="002F0BE0">
        <w:t xml:space="preserve"> the remaining trailer. </w:t>
      </w:r>
      <w:r w:rsidR="002F0BE0" w:rsidRPr="00117927">
        <w:t>This equation can be adapted for other types of heavy vehicles decoupling to small vehicles</w:t>
      </w:r>
      <w:r w:rsidR="002F0BE0">
        <w:t>.</w:t>
      </w:r>
    </w:p>
    <w:p w:rsidR="002F0BE0" w:rsidRPr="003321EA" w:rsidRDefault="002F0BE0" w:rsidP="002F0BE0">
      <w:pPr>
        <w:pStyle w:val="Heading2"/>
        <w:numPr>
          <w:ilvl w:val="1"/>
          <w:numId w:val="11"/>
        </w:numPr>
        <w:ind w:left="0" w:hanging="567"/>
      </w:pPr>
      <w:r w:rsidRPr="003321EA">
        <w:t>Combination of diverting and using smaller vehicles</w:t>
      </w:r>
    </w:p>
    <w:p w:rsidR="002F0BE0" w:rsidRDefault="002F0BE0" w:rsidP="002F0BE0">
      <w:pPr>
        <w:pStyle w:val="Text"/>
      </w:pPr>
      <w:r w:rsidRPr="004A2C75">
        <w:t xml:space="preserve">The approaches described above can be </w:t>
      </w:r>
      <w:r w:rsidR="0042441E">
        <w:t xml:space="preserve">combined and </w:t>
      </w:r>
      <w:r w:rsidRPr="004A2C75">
        <w:t>applied to the same evaluation. If data exists regarding heavy vehicle operator behaviou</w:t>
      </w:r>
      <w:r w:rsidR="008046D5">
        <w:t>r, this data can be applied to E</w:t>
      </w:r>
      <w:r w:rsidRPr="004A2C75">
        <w:t>quations 1 to 3 and summated to arrive at the total value of road user cost savings.</w:t>
      </w:r>
      <w:r>
        <w:t xml:space="preserve"> In the absenc</w:t>
      </w:r>
      <w:r w:rsidR="0042441E">
        <w:t>e of data,</w:t>
      </w:r>
      <w:r>
        <w:t xml:space="preserve"> r</w:t>
      </w:r>
      <w:r w:rsidR="0042441E">
        <w:t>oad user behaviour needs to be predicted</w:t>
      </w:r>
      <w:r>
        <w:t xml:space="preserve">. An approach would be to assume heavy vehicle operators select the </w:t>
      </w:r>
      <w:r w:rsidR="0042441E">
        <w:t xml:space="preserve">least cost </w:t>
      </w:r>
      <w:r>
        <w:t>option. The least cost option can be determined using Equation 4.</w:t>
      </w:r>
    </w:p>
    <w:p w:rsidR="002F0BE0" w:rsidRPr="00095397" w:rsidRDefault="0042441E" w:rsidP="002F0BE0">
      <w:pPr>
        <w:pStyle w:val="Text"/>
      </w:pPr>
      <m:oMath>
        <m:r>
          <m:rPr>
            <m:nor/>
          </m:rPr>
          <w:lastRenderedPageBreak/>
          <m:t>Min</m:t>
        </m:r>
        <m:d>
          <m:dPr>
            <m:ctrlPr>
              <w:rPr>
                <w:rFonts w:ascii="Cambria Math" w:hAnsi="Cambria Math"/>
              </w:rPr>
            </m:ctrlPr>
          </m:dPr>
          <m:e>
            <m:sSub>
              <m:sSubPr>
                <m:ctrlPr>
                  <w:rPr>
                    <w:rFonts w:ascii="Cambria Math" w:hAnsi="Cambria Math"/>
                  </w:rPr>
                </m:ctrlPr>
              </m:sSubPr>
              <m:e>
                <m:r>
                  <m:rPr>
                    <m:nor/>
                  </m:rPr>
                  <m:t>RUC</m:t>
                </m:r>
              </m:e>
              <m:sub>
                <m:r>
                  <m:rPr>
                    <m:nor/>
                  </m:rPr>
                  <m:t>DRT2</m:t>
                </m:r>
              </m:sub>
            </m:sSub>
            <m:r>
              <m:rPr>
                <m:nor/>
              </m:rPr>
              <m:t>×</m:t>
            </m:r>
            <m:sSub>
              <m:sSubPr>
                <m:ctrlPr>
                  <w:rPr>
                    <w:rFonts w:ascii="Cambria Math" w:hAnsi="Cambria Math"/>
                  </w:rPr>
                </m:ctrlPr>
              </m:sSubPr>
              <m:e>
                <m:r>
                  <m:rPr>
                    <m:nor/>
                  </m:rPr>
                  <m:t>SL</m:t>
                </m:r>
              </m:e>
              <m:sub>
                <m:r>
                  <m:rPr>
                    <m:nor/>
                  </m:rPr>
                  <m:t>DR</m:t>
                </m:r>
              </m:sub>
            </m:sSub>
            <m:r>
              <m:rPr>
                <m:nor/>
              </m:rPr>
              <m:t>-</m:t>
            </m:r>
            <m:sSub>
              <m:sSubPr>
                <m:ctrlPr>
                  <w:rPr>
                    <w:rFonts w:ascii="Cambria Math" w:hAnsi="Cambria Math"/>
                  </w:rPr>
                </m:ctrlPr>
              </m:sSubPr>
              <m:e>
                <m:r>
                  <m:rPr>
                    <m:nor/>
                  </m:rPr>
                  <m:t>RUC</m:t>
                </m:r>
              </m:e>
              <m:sub>
                <m:r>
                  <m:rPr>
                    <m:nor/>
                  </m:rPr>
                  <m:t>ORT2</m:t>
                </m:r>
              </m:sub>
            </m:sSub>
            <m:r>
              <m:rPr>
                <m:nor/>
              </m:rPr>
              <m:t>×</m:t>
            </m:r>
            <m:sSub>
              <m:sSubPr>
                <m:ctrlPr>
                  <w:rPr>
                    <w:rFonts w:ascii="Cambria Math" w:hAnsi="Cambria Math"/>
                  </w:rPr>
                </m:ctrlPr>
              </m:sSubPr>
              <m:e>
                <m:r>
                  <m:rPr>
                    <m:nor/>
                  </m:rPr>
                  <m:t>SL</m:t>
                </m:r>
              </m:e>
              <m:sub>
                <m:r>
                  <m:rPr>
                    <m:nor/>
                  </m:rPr>
                  <m:t>OR</m:t>
                </m:r>
              </m:sub>
            </m:sSub>
          </m:e>
        </m:d>
        <m:r>
          <m:rPr>
            <m:nor/>
          </m:rPr>
          <m:t>,</m:t>
        </m:r>
        <m:sSub>
          <m:sSubPr>
            <m:ctrlPr>
              <w:rPr>
                <w:rFonts w:ascii="Cambria Math" w:hAnsi="Cambria Math"/>
              </w:rPr>
            </m:ctrlPr>
          </m:sSubPr>
          <m:e>
            <m:r>
              <m:rPr>
                <m:nor/>
              </m:rPr>
              <m:t>(RUC</m:t>
            </m:r>
          </m:e>
          <m:sub>
            <m:r>
              <m:rPr>
                <m:nor/>
              </m:rPr>
              <m:t>ORT1</m:t>
            </m:r>
          </m:sub>
        </m:sSub>
        <m:r>
          <m:rPr>
            <m:nor/>
          </m:rPr>
          <m:t>×</m:t>
        </m:r>
        <m:f>
          <m:fPr>
            <m:type m:val="lin"/>
            <m:ctrlPr>
              <w:rPr>
                <w:rFonts w:ascii="Cambria Math" w:hAnsi="Cambria Math"/>
              </w:rPr>
            </m:ctrlPr>
          </m:fPr>
          <m:num>
            <m:sSub>
              <m:sSubPr>
                <m:ctrlPr>
                  <w:rPr>
                    <w:rFonts w:ascii="Cambria Math" w:hAnsi="Cambria Math"/>
                  </w:rPr>
                </m:ctrlPr>
              </m:sSubPr>
              <m:e>
                <m:r>
                  <m:rPr>
                    <m:nor/>
                  </m:rPr>
                  <m:t>HV</m:t>
                </m:r>
              </m:e>
              <m:sub>
                <m:r>
                  <m:rPr>
                    <m:nor/>
                  </m:rPr>
                  <m:t>T1</m:t>
                </m:r>
              </m:sub>
            </m:sSub>
          </m:num>
          <m:den>
            <m:sSub>
              <m:sSubPr>
                <m:ctrlPr>
                  <w:rPr>
                    <w:rFonts w:ascii="Cambria Math" w:hAnsi="Cambria Math"/>
                  </w:rPr>
                </m:ctrlPr>
              </m:sSubPr>
              <m:e>
                <m:r>
                  <m:rPr>
                    <m:nor/>
                  </m:rPr>
                  <m:t>HV</m:t>
                </m:r>
              </m:e>
              <m:sub>
                <m:r>
                  <m:rPr>
                    <m:nor/>
                  </m:rPr>
                  <m:t>T2</m:t>
                </m:r>
              </m:sub>
            </m:sSub>
          </m:den>
        </m:f>
        <m:sSub>
          <m:sSubPr>
            <m:ctrlPr>
              <w:rPr>
                <w:rFonts w:ascii="Cambria Math" w:hAnsi="Cambria Math"/>
              </w:rPr>
            </m:ctrlPr>
          </m:sSubPr>
          <m:e>
            <m:r>
              <m:rPr>
                <m:nor/>
              </m:rPr>
              <m:t>-</m:t>
            </m:r>
            <m:sSub>
              <m:sSubPr>
                <m:ctrlPr>
                  <w:rPr>
                    <w:rFonts w:ascii="Cambria Math" w:hAnsi="Cambria Math"/>
                  </w:rPr>
                </m:ctrlPr>
              </m:sSubPr>
              <m:e>
                <m:r>
                  <m:rPr>
                    <m:nor/>
                  </m:rPr>
                  <m:t>RUC</m:t>
                </m:r>
              </m:e>
              <m:sub>
                <m:r>
                  <m:rPr>
                    <m:nor/>
                  </m:rPr>
                  <m:t>ORT2</m:t>
                </m:r>
              </m:sub>
            </m:sSub>
            <m:r>
              <m:rPr>
                <m:nor/>
              </m:rPr>
              <m:t>)×SL</m:t>
            </m:r>
          </m:e>
          <m:sub>
            <m:r>
              <m:rPr>
                <m:nor/>
              </m:rPr>
              <m:t>OR</m:t>
            </m:r>
          </m:sub>
        </m:sSub>
      </m:oMath>
      <w:r w:rsidR="002F0BE0" w:rsidRPr="0042441E">
        <w:t xml:space="preserve">   </w:t>
      </w:r>
      <w:r>
        <w:t xml:space="preserve">                                                                                          </w:t>
      </w:r>
      <w:r w:rsidR="002F0BE0" w:rsidRPr="00095397">
        <w:t>(4)</w:t>
      </w:r>
    </w:p>
    <w:p w:rsidR="00707506" w:rsidRPr="00767916" w:rsidRDefault="00227184" w:rsidP="002F0BE0">
      <w:pPr>
        <w:pStyle w:val="Text"/>
        <w:rPr>
          <w:color w:val="C00000"/>
        </w:rPr>
      </w:pPr>
      <w:r>
        <w:t>Obtaining origin-</w:t>
      </w:r>
      <w:r w:rsidR="002F0BE0">
        <w:t>destination data for vehicles is important</w:t>
      </w:r>
      <w:r w:rsidR="00707506">
        <w:t xml:space="preserve"> for this approach to be effective</w:t>
      </w:r>
      <w:r w:rsidR="002F0BE0">
        <w:t xml:space="preserve">. </w:t>
      </w:r>
      <w:r w:rsidR="00A12A32" w:rsidRPr="00707506">
        <w:t>The costs of switch</w:t>
      </w:r>
      <w:r w:rsidR="0005664A" w:rsidRPr="00707506">
        <w:t>ing to smaller vehicles are very sensitive</w:t>
      </w:r>
      <w:r w:rsidR="00A12A32" w:rsidRPr="00707506">
        <w:t xml:space="preserve"> to the distance of the trip</w:t>
      </w:r>
      <w:r w:rsidR="0005664A" w:rsidRPr="00707506">
        <w:t>.</w:t>
      </w:r>
      <w:r w:rsidR="00A12A32" w:rsidRPr="00707506">
        <w:t xml:space="preserve"> </w:t>
      </w:r>
      <w:r w:rsidR="0069720D">
        <w:t>A l</w:t>
      </w:r>
      <w:r w:rsidR="002F0BE0" w:rsidRPr="00707506">
        <w:t>ong distance</w:t>
      </w:r>
      <w:r>
        <w:t xml:space="preserve"> between the origin and destination</w:t>
      </w:r>
      <w:r w:rsidR="0069720D">
        <w:t xml:space="preserve"> </w:t>
      </w:r>
      <w:r w:rsidR="002F0BE0" w:rsidRPr="00707506">
        <w:t>will sway heavy vehicle operators to use alternative routes rather than use smaller vehicles.</w:t>
      </w:r>
    </w:p>
    <w:p w:rsidR="002F0BE0" w:rsidRPr="003D4344" w:rsidRDefault="002F0BE0" w:rsidP="002F0BE0">
      <w:pPr>
        <w:pStyle w:val="Heading1"/>
        <w:numPr>
          <w:ilvl w:val="0"/>
          <w:numId w:val="11"/>
        </w:numPr>
        <w:ind w:left="0" w:hanging="567"/>
      </w:pPr>
      <w:r w:rsidRPr="003D4344">
        <w:t>Comparison of Approaches</w:t>
      </w:r>
    </w:p>
    <w:p w:rsidR="003321EA" w:rsidRDefault="002F0BE0" w:rsidP="002F0BE0">
      <w:pPr>
        <w:pStyle w:val="Text"/>
      </w:pPr>
      <w:r w:rsidRPr="00330FA9">
        <w:t>The three approaches discussed have strengths and weaknesses and should not be applied universally to all bridge upgrade projects.</w:t>
      </w:r>
      <w:r>
        <w:t xml:space="preserve"> The strengths and weaknesses of the proposed approaches are summarized in Tables 1 and 2.</w:t>
      </w:r>
    </w:p>
    <w:p w:rsidR="002F0BE0" w:rsidRPr="00795F07" w:rsidRDefault="002F0BE0" w:rsidP="002F0BE0">
      <w:pPr>
        <w:rPr>
          <w:b/>
          <w:sz w:val="24"/>
        </w:rPr>
      </w:pPr>
      <w:r w:rsidRPr="00795F07">
        <w:rPr>
          <w:b/>
          <w:sz w:val="24"/>
        </w:rPr>
        <w:t>Table 1: Strengths of Proposed Approaches</w:t>
      </w:r>
    </w:p>
    <w:tbl>
      <w:tblPr>
        <w:tblW w:w="5000" w:type="pct"/>
        <w:tblLook w:val="04A0" w:firstRow="1" w:lastRow="0" w:firstColumn="1" w:lastColumn="0" w:noHBand="0" w:noVBand="1"/>
      </w:tblPr>
      <w:tblGrid>
        <w:gridCol w:w="2830"/>
        <w:gridCol w:w="2410"/>
        <w:gridCol w:w="3062"/>
      </w:tblGrid>
      <w:tr w:rsidR="002F0BE0" w:rsidRPr="00795F07" w:rsidTr="006B31FB">
        <w:trPr>
          <w:trHeight w:hRule="exact" w:val="595"/>
        </w:trPr>
        <w:tc>
          <w:tcPr>
            <w:tcW w:w="1704" w:type="pct"/>
            <w:tcBorders>
              <w:top w:val="single" w:sz="4" w:space="0" w:color="auto"/>
              <w:left w:val="single" w:sz="4" w:space="0" w:color="auto"/>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Diverting to avoid bridge</w:t>
            </w:r>
          </w:p>
        </w:tc>
        <w:tc>
          <w:tcPr>
            <w:tcW w:w="1451" w:type="pct"/>
            <w:tcBorders>
              <w:top w:val="single" w:sz="4" w:space="0" w:color="auto"/>
              <w:left w:val="nil"/>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Use smaller vehicles</w:t>
            </w:r>
          </w:p>
        </w:tc>
        <w:tc>
          <w:tcPr>
            <w:tcW w:w="1844" w:type="pct"/>
            <w:tcBorders>
              <w:top w:val="single" w:sz="4" w:space="0" w:color="auto"/>
              <w:left w:val="nil"/>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Combination of approaches</w:t>
            </w:r>
          </w:p>
        </w:tc>
      </w:tr>
      <w:tr w:rsidR="002F0BE0" w:rsidRPr="00795F07" w:rsidTr="0069720D">
        <w:trPr>
          <w:trHeight w:hRule="exact" w:val="445"/>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Most data is accessible</w:t>
            </w:r>
          </w:p>
        </w:tc>
        <w:tc>
          <w:tcPr>
            <w:tcW w:w="145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Not data intensive</w:t>
            </w:r>
          </w:p>
        </w:tc>
        <w:tc>
          <w:tcPr>
            <w:tcW w:w="1844"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Good for detailed analysis</w:t>
            </w:r>
          </w:p>
        </w:tc>
      </w:tr>
      <w:tr w:rsidR="002F0BE0" w:rsidRPr="00795F07" w:rsidTr="0069720D">
        <w:trPr>
          <w:trHeight w:hRule="exact" w:val="579"/>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Applicable to most projects</w:t>
            </w:r>
          </w:p>
        </w:tc>
        <w:tc>
          <w:tcPr>
            <w:tcW w:w="145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Simple methodology</w:t>
            </w:r>
          </w:p>
        </w:tc>
        <w:tc>
          <w:tcPr>
            <w:tcW w:w="1844"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Applicable to most projects</w:t>
            </w:r>
          </w:p>
        </w:tc>
      </w:tr>
      <w:tr w:rsidR="002F0BE0" w:rsidRPr="00795F07" w:rsidTr="0069720D">
        <w:trPr>
          <w:trHeight w:hRule="exact" w:val="701"/>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Approach supported by tools </w:t>
            </w:r>
          </w:p>
        </w:tc>
        <w:tc>
          <w:tcPr>
            <w:tcW w:w="145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Good for rapid analysis</w:t>
            </w:r>
          </w:p>
        </w:tc>
        <w:tc>
          <w:tcPr>
            <w:tcW w:w="1844"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Considers entire route</w:t>
            </w:r>
          </w:p>
        </w:tc>
      </w:tr>
      <w:tr w:rsidR="002F0BE0" w:rsidRPr="00795F07" w:rsidTr="006B31FB">
        <w:trPr>
          <w:trHeight w:hRule="exact" w:val="589"/>
        </w:trPr>
        <w:tc>
          <w:tcPr>
            <w:tcW w:w="1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 </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 </w:t>
            </w:r>
          </w:p>
        </w:tc>
        <w:tc>
          <w:tcPr>
            <w:tcW w:w="1844" w:type="pct"/>
            <w:tcBorders>
              <w:top w:val="single" w:sz="4" w:space="0" w:color="auto"/>
              <w:left w:val="nil"/>
              <w:bottom w:val="single" w:sz="4" w:space="0" w:color="auto"/>
              <w:right w:val="single" w:sz="4" w:space="0" w:color="auto"/>
            </w:tcBorders>
            <w:shd w:val="clear" w:color="auto" w:fill="auto"/>
            <w:vAlign w:val="center"/>
            <w:hideMark/>
          </w:tcPr>
          <w:p w:rsidR="002F0BE0" w:rsidRPr="003321EA" w:rsidRDefault="00707506" w:rsidP="004E7C39">
            <w:pPr>
              <w:rPr>
                <w:color w:val="000000"/>
                <w:sz w:val="24"/>
                <w:lang w:eastAsia="en-AU"/>
              </w:rPr>
            </w:pPr>
            <w:r>
              <w:rPr>
                <w:color w:val="000000"/>
                <w:sz w:val="24"/>
                <w:lang w:eastAsia="en-AU"/>
              </w:rPr>
              <w:t>Incorporates road user</w:t>
            </w:r>
            <w:r w:rsidR="002F0BE0" w:rsidRPr="003321EA">
              <w:rPr>
                <w:color w:val="000000"/>
                <w:sz w:val="24"/>
                <w:lang w:eastAsia="en-AU"/>
              </w:rPr>
              <w:t xml:space="preserve"> behaviour </w:t>
            </w:r>
          </w:p>
        </w:tc>
      </w:tr>
      <w:tr w:rsidR="002F0BE0" w:rsidRPr="00795F07" w:rsidTr="006B31FB">
        <w:trPr>
          <w:trHeight w:hRule="exact" w:val="1145"/>
        </w:trPr>
        <w:tc>
          <w:tcPr>
            <w:tcW w:w="1704" w:type="pct"/>
            <w:tcBorders>
              <w:top w:val="single" w:sz="4" w:space="0" w:color="auto"/>
              <w:left w:val="single" w:sz="4" w:space="0" w:color="auto"/>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p>
        </w:tc>
        <w:tc>
          <w:tcPr>
            <w:tcW w:w="1451" w:type="pct"/>
            <w:tcBorders>
              <w:top w:val="single" w:sz="4" w:space="0" w:color="auto"/>
              <w:left w:val="nil"/>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p>
        </w:tc>
        <w:tc>
          <w:tcPr>
            <w:tcW w:w="1844" w:type="pct"/>
            <w:tcBorders>
              <w:top w:val="single" w:sz="4" w:space="0" w:color="auto"/>
              <w:left w:val="nil"/>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r w:rsidRPr="003321EA">
              <w:rPr>
                <w:color w:val="000000"/>
                <w:sz w:val="24"/>
                <w:lang w:eastAsia="en-AU"/>
              </w:rPr>
              <w:t>Heavy vehicle operator survey data results can be incorporated into approach.</w:t>
            </w:r>
          </w:p>
        </w:tc>
      </w:tr>
    </w:tbl>
    <w:p w:rsidR="002F0BE0" w:rsidRDefault="002F0BE0" w:rsidP="002F0BE0">
      <w:pPr>
        <w:rPr>
          <w:sz w:val="24"/>
        </w:rPr>
      </w:pPr>
    </w:p>
    <w:p w:rsidR="002F0BE0" w:rsidRPr="003321EA" w:rsidRDefault="002F0BE0" w:rsidP="002F0BE0">
      <w:pPr>
        <w:rPr>
          <w:b/>
          <w:sz w:val="24"/>
        </w:rPr>
      </w:pPr>
      <w:r w:rsidRPr="003321EA">
        <w:rPr>
          <w:b/>
          <w:sz w:val="24"/>
        </w:rPr>
        <w:t>Table 2: Weaknesses of Proposed Approaches</w:t>
      </w:r>
    </w:p>
    <w:tbl>
      <w:tblPr>
        <w:tblW w:w="5000" w:type="pct"/>
        <w:tblLook w:val="04A0" w:firstRow="1" w:lastRow="0" w:firstColumn="1" w:lastColumn="0" w:noHBand="0" w:noVBand="1"/>
      </w:tblPr>
      <w:tblGrid>
        <w:gridCol w:w="2830"/>
        <w:gridCol w:w="2814"/>
        <w:gridCol w:w="2658"/>
      </w:tblGrid>
      <w:tr w:rsidR="002F0BE0" w:rsidRPr="00795F07" w:rsidTr="006B31FB">
        <w:trPr>
          <w:trHeight w:hRule="exact" w:val="692"/>
        </w:trPr>
        <w:tc>
          <w:tcPr>
            <w:tcW w:w="1704" w:type="pct"/>
            <w:tcBorders>
              <w:top w:val="single" w:sz="4" w:space="0" w:color="auto"/>
              <w:left w:val="single" w:sz="4" w:space="0" w:color="auto"/>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Diverting to avoid bridge</w:t>
            </w:r>
          </w:p>
        </w:tc>
        <w:tc>
          <w:tcPr>
            <w:tcW w:w="1695" w:type="pct"/>
            <w:tcBorders>
              <w:top w:val="single" w:sz="4" w:space="0" w:color="auto"/>
              <w:left w:val="nil"/>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Use smaller vehicles</w:t>
            </w:r>
          </w:p>
        </w:tc>
        <w:tc>
          <w:tcPr>
            <w:tcW w:w="1601" w:type="pct"/>
            <w:tcBorders>
              <w:top w:val="single" w:sz="4" w:space="0" w:color="auto"/>
              <w:left w:val="nil"/>
              <w:bottom w:val="single" w:sz="4" w:space="0" w:color="auto"/>
              <w:right w:val="single" w:sz="4" w:space="0" w:color="auto"/>
            </w:tcBorders>
            <w:shd w:val="clear" w:color="auto" w:fill="auto"/>
            <w:hideMark/>
          </w:tcPr>
          <w:p w:rsidR="002F0BE0" w:rsidRPr="003321EA" w:rsidRDefault="002F0BE0" w:rsidP="004E7C39">
            <w:pPr>
              <w:rPr>
                <w:b/>
                <w:bCs/>
                <w:color w:val="000000"/>
                <w:sz w:val="24"/>
                <w:lang w:eastAsia="en-AU"/>
              </w:rPr>
            </w:pPr>
            <w:r w:rsidRPr="003321EA">
              <w:rPr>
                <w:b/>
                <w:bCs/>
                <w:color w:val="000000"/>
                <w:sz w:val="24"/>
                <w:lang w:eastAsia="en-AU"/>
              </w:rPr>
              <w:t>Combination of approaches</w:t>
            </w:r>
          </w:p>
        </w:tc>
      </w:tr>
      <w:tr w:rsidR="002F0BE0" w:rsidRPr="00795F07" w:rsidTr="006B31FB">
        <w:trPr>
          <w:trHeight w:val="696"/>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Does not include road user behaviour</w:t>
            </w:r>
          </w:p>
        </w:tc>
        <w:tc>
          <w:tcPr>
            <w:tcW w:w="1695"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Many factors not considered</w:t>
            </w:r>
          </w:p>
        </w:tc>
        <w:tc>
          <w:tcPr>
            <w:tcW w:w="160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Very data intensive</w:t>
            </w:r>
          </w:p>
        </w:tc>
      </w:tr>
      <w:tr w:rsidR="002F0BE0" w:rsidRPr="00795F07" w:rsidTr="006B31FB">
        <w:trPr>
          <w:trHeight w:val="690"/>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Complexity of diversion route</w:t>
            </w:r>
          </w:p>
        </w:tc>
        <w:tc>
          <w:tcPr>
            <w:tcW w:w="1695"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Many broad assumptions</w:t>
            </w:r>
          </w:p>
        </w:tc>
        <w:tc>
          <w:tcPr>
            <w:tcW w:w="160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Complex methodology</w:t>
            </w:r>
          </w:p>
        </w:tc>
      </w:tr>
      <w:tr w:rsidR="002F0BE0" w:rsidRPr="00795F07" w:rsidTr="006B31FB">
        <w:trPr>
          <w:trHeight w:val="698"/>
        </w:trPr>
        <w:tc>
          <w:tcPr>
            <w:tcW w:w="1704" w:type="pct"/>
            <w:tcBorders>
              <w:top w:val="nil"/>
              <w:left w:val="single" w:sz="4" w:space="0" w:color="auto"/>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 </w:t>
            </w:r>
          </w:p>
        </w:tc>
        <w:tc>
          <w:tcPr>
            <w:tcW w:w="1695"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Not realistic for many projects</w:t>
            </w:r>
          </w:p>
        </w:tc>
        <w:tc>
          <w:tcPr>
            <w:tcW w:w="1601" w:type="pct"/>
            <w:tcBorders>
              <w:top w:val="nil"/>
              <w:left w:val="nil"/>
              <w:bottom w:val="single" w:sz="4" w:space="0" w:color="auto"/>
              <w:right w:val="single" w:sz="4" w:space="0" w:color="auto"/>
            </w:tcBorders>
            <w:shd w:val="clear" w:color="auto" w:fill="auto"/>
            <w:vAlign w:val="center"/>
            <w:hideMark/>
          </w:tcPr>
          <w:p w:rsidR="002F0BE0" w:rsidRPr="003321EA" w:rsidRDefault="002F0BE0" w:rsidP="004E7C39">
            <w:pPr>
              <w:rPr>
                <w:color w:val="000000"/>
                <w:sz w:val="24"/>
                <w:lang w:eastAsia="en-AU"/>
              </w:rPr>
            </w:pPr>
            <w:r w:rsidRPr="003321EA">
              <w:rPr>
                <w:color w:val="000000"/>
                <w:sz w:val="24"/>
                <w:lang w:eastAsia="en-AU"/>
              </w:rPr>
              <w:t>Very time consuming</w:t>
            </w:r>
          </w:p>
        </w:tc>
      </w:tr>
      <w:tr w:rsidR="002F0BE0" w:rsidRPr="00795F07" w:rsidTr="0069720D">
        <w:trPr>
          <w:trHeight w:val="990"/>
        </w:trPr>
        <w:tc>
          <w:tcPr>
            <w:tcW w:w="1704" w:type="pct"/>
            <w:tcBorders>
              <w:top w:val="single" w:sz="4" w:space="0" w:color="auto"/>
              <w:left w:val="single" w:sz="4" w:space="0" w:color="auto"/>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p>
        </w:tc>
        <w:tc>
          <w:tcPr>
            <w:tcW w:w="1695" w:type="pct"/>
            <w:tcBorders>
              <w:top w:val="single" w:sz="4" w:space="0" w:color="auto"/>
              <w:left w:val="nil"/>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r w:rsidRPr="003321EA">
              <w:rPr>
                <w:color w:val="000000"/>
                <w:sz w:val="24"/>
                <w:lang w:eastAsia="en-AU"/>
              </w:rPr>
              <w:t>Relies quite heavil</w:t>
            </w:r>
            <w:r w:rsidR="00F96755">
              <w:rPr>
                <w:color w:val="000000"/>
                <w:sz w:val="24"/>
                <w:lang w:eastAsia="en-AU"/>
              </w:rPr>
              <w:t>y on the availability of origin-</w:t>
            </w:r>
            <w:r w:rsidRPr="003321EA">
              <w:rPr>
                <w:color w:val="000000"/>
                <w:sz w:val="24"/>
                <w:lang w:eastAsia="en-AU"/>
              </w:rPr>
              <w:t>destination data</w:t>
            </w:r>
          </w:p>
        </w:tc>
        <w:tc>
          <w:tcPr>
            <w:tcW w:w="1601" w:type="pct"/>
            <w:tcBorders>
              <w:top w:val="single" w:sz="4" w:space="0" w:color="auto"/>
              <w:left w:val="nil"/>
              <w:bottom w:val="single" w:sz="4" w:space="0" w:color="auto"/>
              <w:right w:val="single" w:sz="4" w:space="0" w:color="auto"/>
            </w:tcBorders>
            <w:shd w:val="clear" w:color="auto" w:fill="auto"/>
            <w:vAlign w:val="center"/>
          </w:tcPr>
          <w:p w:rsidR="002F0BE0" w:rsidRPr="003321EA" w:rsidRDefault="002F0BE0" w:rsidP="004E7C39">
            <w:pPr>
              <w:rPr>
                <w:color w:val="000000"/>
                <w:sz w:val="24"/>
                <w:lang w:eastAsia="en-AU"/>
              </w:rPr>
            </w:pPr>
            <w:r w:rsidRPr="003321EA">
              <w:rPr>
                <w:color w:val="000000"/>
                <w:sz w:val="24"/>
                <w:lang w:eastAsia="en-AU"/>
              </w:rPr>
              <w:t>Relies quite heavil</w:t>
            </w:r>
            <w:r w:rsidR="00F96755">
              <w:rPr>
                <w:color w:val="000000"/>
                <w:sz w:val="24"/>
                <w:lang w:eastAsia="en-AU"/>
              </w:rPr>
              <w:t>y on the availability of origin-</w:t>
            </w:r>
            <w:r w:rsidRPr="003321EA">
              <w:rPr>
                <w:color w:val="000000"/>
                <w:sz w:val="24"/>
                <w:lang w:eastAsia="en-AU"/>
              </w:rPr>
              <w:t>destination data</w:t>
            </w:r>
          </w:p>
        </w:tc>
      </w:tr>
    </w:tbl>
    <w:p w:rsidR="002F0BE0" w:rsidRDefault="002F0BE0" w:rsidP="002F0BE0">
      <w:pPr>
        <w:rPr>
          <w:sz w:val="24"/>
        </w:rPr>
      </w:pPr>
    </w:p>
    <w:p w:rsidR="002F0BE0" w:rsidRDefault="002F0BE0" w:rsidP="002F0BE0">
      <w:pPr>
        <w:pStyle w:val="Text"/>
      </w:pPr>
      <w:r>
        <w:lastRenderedPageBreak/>
        <w:t xml:space="preserve">The ‘diverting to avoid bridge’ approach is applicable to most projects as at least one diversion route is normally available. </w:t>
      </w:r>
      <w:r w:rsidR="0000450A">
        <w:t>In Queensland, r</w:t>
      </w:r>
      <w:r>
        <w:t>oad and traffic</w:t>
      </w:r>
      <w:r w:rsidR="0069720D">
        <w:t xml:space="preserve"> data</w:t>
      </w:r>
      <w:r>
        <w:t xml:space="preserve"> is r</w:t>
      </w:r>
      <w:r w:rsidR="0000450A">
        <w:t>eadily available</w:t>
      </w:r>
      <w:r>
        <w:t xml:space="preserve"> for most rural roads. Existing CBA models can be used to evaluate projects with this approach as adding diversion routes is an extension of the same methodologies applied to other rural road upgrades. The ‘diverting to avoid bridge’ </w:t>
      </w:r>
      <w:r w:rsidR="0069720D">
        <w:t xml:space="preserve">approach </w:t>
      </w:r>
      <w:r>
        <w:t>rigidly assumes all vehicles that cannot pass over the bridge will divert, which may not be an accurate representation of reality. Accurate information regarding appropriateness of diversion route may not</w:t>
      </w:r>
      <w:r w:rsidR="0000450A">
        <w:t xml:space="preserve"> be available and the diversion</w:t>
      </w:r>
      <w:r w:rsidR="008046D5">
        <w:t xml:space="preserve"> routes may change</w:t>
      </w:r>
      <w:r>
        <w:t xml:space="preserve"> depending on seasonal conditions.</w:t>
      </w:r>
    </w:p>
    <w:p w:rsidR="002F0BE0" w:rsidRDefault="0000450A" w:rsidP="002F0BE0">
      <w:pPr>
        <w:pStyle w:val="Text"/>
      </w:pPr>
      <w:r>
        <w:t>The ‘use of</w:t>
      </w:r>
      <w:r w:rsidR="002F0BE0">
        <w:t xml:space="preserve"> smaller vehicles’ approach is even simpler than the ‘diverting to avoid bridge’ approach</w:t>
      </w:r>
      <w:r>
        <w:t xml:space="preserve"> as only one route is considered</w:t>
      </w:r>
      <w:r w:rsidR="00CC2A23">
        <w:t>. Vehicle</w:t>
      </w:r>
      <w:r w:rsidR="002F0BE0">
        <w:t xml:space="preserve"> loads </w:t>
      </w:r>
      <w:r>
        <w:t xml:space="preserve">per heavy vehicle type </w:t>
      </w:r>
      <w:r w:rsidR="002F0BE0">
        <w:t xml:space="preserve">are readily available and can be used to determine </w:t>
      </w:r>
      <w:r>
        <w:t>the number of smaller vehicles</w:t>
      </w:r>
      <w:r w:rsidR="002F0BE0">
        <w:t xml:space="preserve"> required to carry the load of a larger vehicle. The </w:t>
      </w:r>
      <w:r>
        <w:t>‘use of</w:t>
      </w:r>
      <w:r w:rsidR="002F0BE0">
        <w:t xml:space="preserve"> smaller vehicles’ approach rigidly assumes tha</w:t>
      </w:r>
      <w:r w:rsidR="001B63DC">
        <w:t>t the use of smaller vehicles i</w:t>
      </w:r>
      <w:r w:rsidR="002F0BE0">
        <w:t>s the only solution to transporting freight when load restrictions apply. This approach is very dependen</w:t>
      </w:r>
      <w:r w:rsidR="00F96755">
        <w:t>t on the availability of origin-</w:t>
      </w:r>
      <w:r w:rsidR="002F0BE0">
        <w:t xml:space="preserve">destination data as the benefits </w:t>
      </w:r>
      <w:r w:rsidR="0069720D">
        <w:t xml:space="preserve">calculated </w:t>
      </w:r>
      <w:r w:rsidR="002F0BE0">
        <w:t xml:space="preserve">using this approach is very dependent on </w:t>
      </w:r>
      <w:r w:rsidR="00CC2A23">
        <w:t xml:space="preserve">the </w:t>
      </w:r>
      <w:r w:rsidR="002F0BE0">
        <w:t xml:space="preserve">distance vehicles are required to travel. </w:t>
      </w:r>
    </w:p>
    <w:p w:rsidR="002F0BE0" w:rsidRPr="00330FA9" w:rsidRDefault="002F0BE0" w:rsidP="002F0BE0">
      <w:pPr>
        <w:pStyle w:val="Text"/>
      </w:pPr>
      <w:r>
        <w:t xml:space="preserve">The combination of the two approaches is mostly likely to </w:t>
      </w:r>
      <w:r w:rsidR="0069720D">
        <w:t xml:space="preserve">produce </w:t>
      </w:r>
      <w:r>
        <w:t>the most accurate calculation of benefits as road user behaviour can be flexibly changed to reflect the costs of transporting freight. The results of such an analysis can be presented in detail</w:t>
      </w:r>
      <w:r w:rsidR="0098600A">
        <w:t>.</w:t>
      </w:r>
      <w:r>
        <w:t xml:space="preserve"> </w:t>
      </w:r>
      <w:r w:rsidR="0098600A">
        <w:t>T</w:t>
      </w:r>
      <w:r>
        <w:t>he benefits to various groups of heavy vehicle operators</w:t>
      </w:r>
      <w:r w:rsidR="0098600A">
        <w:t xml:space="preserve"> can be clearly outlined</w:t>
      </w:r>
      <w:r>
        <w:t xml:space="preserve">. This approach can also incorporate the results of survey data suggesting different responses from different heavy vehicle operators depending on the origin and destination of </w:t>
      </w:r>
      <w:r w:rsidR="0069720D">
        <w:t xml:space="preserve">the </w:t>
      </w:r>
      <w:r>
        <w:t xml:space="preserve">freight. Combining the two approaches can be very time consuming and data intensive. Road user behaviour </w:t>
      </w:r>
      <w:r w:rsidR="0098600A">
        <w:t>may need</w:t>
      </w:r>
      <w:r w:rsidR="0069720D">
        <w:t xml:space="preserve"> to be predicted, such </w:t>
      </w:r>
      <w:r>
        <w:t xml:space="preserve">predictions require significant data </w:t>
      </w:r>
      <w:r w:rsidR="0069720D">
        <w:t xml:space="preserve">in order </w:t>
      </w:r>
      <w:r w:rsidR="001B63DC">
        <w:t>to be accurate. Like the ‘use of</w:t>
      </w:r>
      <w:r>
        <w:t xml:space="preserve"> smaller vehicles</w:t>
      </w:r>
      <w:r w:rsidR="001B63DC">
        <w:t>’ approach</w:t>
      </w:r>
      <w:r>
        <w:t>, this ap</w:t>
      </w:r>
      <w:r w:rsidR="00F96755">
        <w:t>proach relies heavily on origin-</w:t>
      </w:r>
      <w:r>
        <w:t>destination data for heavy vehicles, this data is often not available.</w:t>
      </w:r>
    </w:p>
    <w:p w:rsidR="002F0BE0" w:rsidRPr="003D4344" w:rsidRDefault="002F0BE0" w:rsidP="002F0BE0">
      <w:pPr>
        <w:pStyle w:val="Heading1"/>
        <w:numPr>
          <w:ilvl w:val="0"/>
          <w:numId w:val="11"/>
        </w:numPr>
        <w:ind w:left="0" w:hanging="567"/>
      </w:pPr>
      <w:r w:rsidRPr="003D4344">
        <w:t>Case studies</w:t>
      </w:r>
    </w:p>
    <w:p w:rsidR="002F0BE0" w:rsidRPr="00116FC3" w:rsidRDefault="002F0BE0" w:rsidP="003321EA">
      <w:pPr>
        <w:pStyle w:val="Text"/>
      </w:pPr>
      <w:r w:rsidRPr="001C0811">
        <w:t xml:space="preserve">The ‘diverting to avoid bridge’ and ‘use of smaller vehicles’ approaches have been applied to </w:t>
      </w:r>
      <w:r w:rsidRPr="001B19B7">
        <w:t>actual projects in Queensland. The ‘diverting to avoid bridge’ approach was applied to the Jingi Jingi Bridge Upgrade</w:t>
      </w:r>
      <w:r>
        <w:t>. T</w:t>
      </w:r>
      <w:r w:rsidRPr="001B19B7">
        <w:t>he ‘use of smaller vehicles’ approach has been applied to the R</w:t>
      </w:r>
      <w:r>
        <w:t>egional Bridge Renewal Program, from this program the Banana Creek Bridge Upgrade has been selected</w:t>
      </w:r>
      <w:r w:rsidR="001B63DC">
        <w:t xml:space="preserve"> for this paper</w:t>
      </w:r>
      <w:r>
        <w:t xml:space="preserve">. </w:t>
      </w:r>
    </w:p>
    <w:p w:rsidR="002F0BE0" w:rsidRPr="003321EA" w:rsidRDefault="002F0BE0" w:rsidP="002F0BE0">
      <w:pPr>
        <w:pStyle w:val="Heading2"/>
        <w:numPr>
          <w:ilvl w:val="1"/>
          <w:numId w:val="11"/>
        </w:numPr>
        <w:ind w:left="0" w:hanging="567"/>
      </w:pPr>
      <w:r w:rsidRPr="003321EA">
        <w:lastRenderedPageBreak/>
        <w:t>Jingi Jingi Bridge Upgrade</w:t>
      </w:r>
    </w:p>
    <w:p w:rsidR="002F0BE0" w:rsidRDefault="002F0BE0" w:rsidP="002F0BE0">
      <w:pPr>
        <w:pStyle w:val="Text"/>
      </w:pPr>
      <w:r w:rsidRPr="00D928B5">
        <w:t xml:space="preserve">The Jingi Jingi </w:t>
      </w:r>
      <w:r>
        <w:t xml:space="preserve">Bridge </w:t>
      </w:r>
      <w:r w:rsidRPr="00D928B5">
        <w:t>Upgrade was proposed as part of the Warrego Highway Upgrade</w:t>
      </w:r>
      <w:r>
        <w:t xml:space="preserve"> (WHU)</w:t>
      </w:r>
      <w:r w:rsidRPr="00D928B5">
        <w:t xml:space="preserve"> Program.</w:t>
      </w:r>
      <w:r>
        <w:t xml:space="preserve"> The bridge is located along the Warrego Highway between the Towns of Dalby and Chinchilla. The existing structure was found to be structurally unsound and is expected to become load restricted within the next 10-15 years as a safety precaution. The ‘diverting to avoid bridge’ approach was selected to evaluate the project due to </w:t>
      </w:r>
      <w:r w:rsidR="001B63DC">
        <w:t xml:space="preserve">the </w:t>
      </w:r>
      <w:r>
        <w:t>long distance</w:t>
      </w:r>
      <w:r w:rsidR="001B63DC">
        <w:t>s</w:t>
      </w:r>
      <w:r>
        <w:t xml:space="preserve"> most heavy vehicles using </w:t>
      </w:r>
      <w:r w:rsidR="001B63DC">
        <w:t>this route are likely to travel. This distance can be</w:t>
      </w:r>
      <w:r>
        <w:t xml:space="preserve"> up to 1700km for heavy vehicles travelling between Cloncurry and Brisbane. </w:t>
      </w:r>
    </w:p>
    <w:p w:rsidR="002F0BE0" w:rsidRDefault="002F0BE0" w:rsidP="002F0BE0">
      <w:pPr>
        <w:pStyle w:val="Text"/>
      </w:pPr>
      <w:r>
        <w:t xml:space="preserve">The proposed diversion route between Dalby and Chinchilla is made up of several low-volume roads. These </w:t>
      </w:r>
      <w:r w:rsidR="00586194">
        <w:t>low-volume</w:t>
      </w:r>
      <w:r>
        <w:t xml:space="preserve"> roads are of lower quality, </w:t>
      </w:r>
      <w:r w:rsidR="0098600A">
        <w:t>have</w:t>
      </w:r>
      <w:r>
        <w:t xml:space="preserve"> </w:t>
      </w:r>
      <w:r w:rsidR="0098600A">
        <w:t>curvier</w:t>
      </w:r>
      <w:r>
        <w:t xml:space="preserve"> alignments, n</w:t>
      </w:r>
      <w:r w:rsidR="001B63DC">
        <w:t>arrower shoulder seals, and</w:t>
      </w:r>
      <w:r>
        <w:t xml:space="preserve"> lower speed limits. The length of the diversion route is 110km. The original route along the Warrego Highway between Dalby and Chinchilla is 82km, 28km shorter than the diversion route. The map of the diversion route is provided in the Appendix. In 2028, 470 heavy vehicles</w:t>
      </w:r>
      <w:r w:rsidR="002D154B">
        <w:t xml:space="preserve"> a day</w:t>
      </w:r>
      <w:r>
        <w:t xml:space="preserve"> are expected to utilize the diversion route if the Jingi Jingi Bridge is not upgraded.</w:t>
      </w:r>
    </w:p>
    <w:p w:rsidR="002F0BE0" w:rsidRDefault="002F0BE0" w:rsidP="002F0BE0">
      <w:pPr>
        <w:pStyle w:val="Text"/>
      </w:pPr>
      <w:r>
        <w:t>The capital cost of the upgrade is $26.3 million and the upgraded bridge is expected to have a life of 40 years. The evaluation peri</w:t>
      </w:r>
      <w:r w:rsidR="002D154B">
        <w:t xml:space="preserve">od applied to the project was 32 </w:t>
      </w:r>
      <w:r>
        <w:t xml:space="preserve">years (30 years of operation and </w:t>
      </w:r>
      <w:r w:rsidR="002D154B">
        <w:t xml:space="preserve">2 </w:t>
      </w:r>
      <w:r>
        <w:t>years of construction), the remaining 10 years of benefits were treated as residual value. The road user cost (RUC) savings included in the evaluation were travel time cost (TTC) savings, vehicle operating cost (VOC) savings, and accident cost savings. The externality cost savi</w:t>
      </w:r>
      <w:r w:rsidR="00F00A8D">
        <w:t>ngs included emission</w:t>
      </w:r>
      <w:r>
        <w:t>, environmental, and noise</w:t>
      </w:r>
      <w:r w:rsidR="00F00A8D">
        <w:t xml:space="preserve"> reductions</w:t>
      </w:r>
      <w:r>
        <w:t>. The bridge is also expected to require less maintenance work, hence reducing future maintenance costs.</w:t>
      </w:r>
    </w:p>
    <w:p w:rsidR="002F0BE0" w:rsidRDefault="002F0BE0" w:rsidP="002F0BE0">
      <w:pPr>
        <w:pStyle w:val="Text"/>
      </w:pPr>
      <w:r w:rsidRPr="002C5FF0">
        <w:t xml:space="preserve">The Detailed Road Economic Analysis Model (DREAM) was used to evaluate the project. DREAM uses </w:t>
      </w:r>
      <w:r>
        <w:t xml:space="preserve">algorithms derived from </w:t>
      </w:r>
      <w:r w:rsidRPr="002C5FF0">
        <w:t>the National Association of Australian State Road Authorities (NAASRA) Improved Model for Project Assessment and</w:t>
      </w:r>
      <w:r w:rsidRPr="00095397">
        <w:t xml:space="preserve"> </w:t>
      </w:r>
      <w:r w:rsidRPr="002C5FF0">
        <w:t>Costing (NIMPAC)</w:t>
      </w:r>
      <w:r>
        <w:t xml:space="preserve"> to calculate operating speed and the components of VOC such as tyre wear and fuel consumption. DREAM uses Austroads unit values to convert outputs into dollar values. The Austroads unit values are </w:t>
      </w:r>
      <w:r w:rsidR="00BF0091">
        <w:t>nationally accepted values that are</w:t>
      </w:r>
      <w:r>
        <w:t xml:space="preserve"> applied to CBA across Australia.</w:t>
      </w:r>
    </w:p>
    <w:p w:rsidR="002F0BE0" w:rsidRDefault="002F0BE0" w:rsidP="002F0BE0">
      <w:pPr>
        <w:pStyle w:val="Text"/>
      </w:pPr>
      <w:r>
        <w:t xml:space="preserve">The selected economic indicators used to determine the economic viability and ranking of project within the program were the net present value (NPV), benefit cost ratio (BCR), and net benefit investment ratio (NBIR). The first year rate of return (FYRR), and internal rate of return (IRR) were also reported but </w:t>
      </w:r>
      <w:r w:rsidR="00783633">
        <w:t xml:space="preserve">were </w:t>
      </w:r>
      <w:r>
        <w:t xml:space="preserve">not </w:t>
      </w:r>
      <w:r>
        <w:lastRenderedPageBreak/>
        <w:t>considered key to the funding recommendation. For the project to be considered economically viable, the BCR and NBIR are required to be greater than one and the NPV greater than zero. The NBIR is also used to rank projects within the program. The NBIR is required to be greater than the NBIR of the lowest project within the program before the allocated funding is exhausted.</w:t>
      </w:r>
    </w:p>
    <w:p w:rsidR="006B31FB" w:rsidRDefault="002F0BE0" w:rsidP="006A204D">
      <w:pPr>
        <w:pStyle w:val="Text"/>
      </w:pPr>
      <w:r>
        <w:t xml:space="preserve">The results of the CBA indicate </w:t>
      </w:r>
      <w:r w:rsidR="00586194">
        <w:t xml:space="preserve">that </w:t>
      </w:r>
      <w:r>
        <w:t xml:space="preserve">the Jingi Jingi Bridge Upgrade is economically viable at all </w:t>
      </w:r>
      <w:r w:rsidR="00BF0091">
        <w:t xml:space="preserve">of the </w:t>
      </w:r>
      <w:r>
        <w:t>prescribed discount rates</w:t>
      </w:r>
      <w:r w:rsidR="006A204D">
        <w:rPr>
          <w:sz w:val="18"/>
          <w:szCs w:val="18"/>
          <w:vertAlign w:val="superscript"/>
        </w:rPr>
        <w:t>8</w:t>
      </w:r>
      <w:r>
        <w:t xml:space="preserve">. The combination of the relatively low capital costs of upgrading the bridge and </w:t>
      </w:r>
      <w:r w:rsidR="008D42BA">
        <w:t xml:space="preserve">the </w:t>
      </w:r>
      <w:r>
        <w:t xml:space="preserve">high </w:t>
      </w:r>
      <w:r w:rsidR="00783633">
        <w:t xml:space="preserve">road user </w:t>
      </w:r>
      <w:r>
        <w:t xml:space="preserve">costs </w:t>
      </w:r>
      <w:r w:rsidR="00783633">
        <w:t xml:space="preserve">of </w:t>
      </w:r>
      <w:r>
        <w:t xml:space="preserve">heavy vehicles diverting produced a high NPV, BCR, and NBIR. The results are provided in Table </w:t>
      </w:r>
      <w:r w:rsidR="00BF0091">
        <w:t xml:space="preserve">3 </w:t>
      </w:r>
      <w:r>
        <w:t>and the breakdown of be</w:t>
      </w:r>
      <w:r w:rsidR="00BF0091">
        <w:t>nefits are presented in Figure 3</w:t>
      </w:r>
      <w:r>
        <w:t>.</w:t>
      </w:r>
    </w:p>
    <w:p w:rsidR="002F0BE0" w:rsidRPr="003A6B14" w:rsidRDefault="00BF0091" w:rsidP="002F0BE0">
      <w:pPr>
        <w:rPr>
          <w:b/>
          <w:sz w:val="24"/>
        </w:rPr>
      </w:pPr>
      <w:r>
        <w:rPr>
          <w:b/>
          <w:sz w:val="24"/>
        </w:rPr>
        <w:t>Table 3</w:t>
      </w:r>
      <w:r w:rsidR="002F0BE0" w:rsidRPr="003A6B14">
        <w:rPr>
          <w:b/>
          <w:sz w:val="24"/>
        </w:rPr>
        <w:t xml:space="preserve">: Results of </w:t>
      </w:r>
      <w:r w:rsidR="002F0BE0">
        <w:rPr>
          <w:b/>
          <w:sz w:val="24"/>
        </w:rPr>
        <w:t xml:space="preserve">the Jingi Jingi Bridge </w:t>
      </w:r>
      <w:r w:rsidR="002F0BE0" w:rsidRPr="003A6B14">
        <w:rPr>
          <w:b/>
          <w:sz w:val="24"/>
        </w:rPr>
        <w:t>CBA</w:t>
      </w:r>
    </w:p>
    <w:tbl>
      <w:tblPr>
        <w:tblW w:w="8647" w:type="dxa"/>
        <w:tblInd w:w="-5" w:type="dxa"/>
        <w:tblLook w:val="04A0" w:firstRow="1" w:lastRow="0" w:firstColumn="1" w:lastColumn="0" w:noHBand="0" w:noVBand="1"/>
      </w:tblPr>
      <w:tblGrid>
        <w:gridCol w:w="3710"/>
        <w:gridCol w:w="1685"/>
        <w:gridCol w:w="1685"/>
        <w:gridCol w:w="1685"/>
      </w:tblGrid>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rPr>
                <w:b/>
                <w:sz w:val="24"/>
              </w:rPr>
            </w:pPr>
            <w:r w:rsidRPr="003321EA">
              <w:rPr>
                <w:b/>
                <w:sz w:val="24"/>
              </w:rPr>
              <w:t>Results</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jc w:val="right"/>
              <w:rPr>
                <w:b/>
                <w:sz w:val="24"/>
              </w:rPr>
            </w:pPr>
            <w:r w:rsidRPr="003321EA">
              <w:rPr>
                <w:b/>
                <w:sz w:val="24"/>
              </w:rPr>
              <w:t>4%</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jc w:val="right"/>
              <w:rPr>
                <w:b/>
                <w:sz w:val="24"/>
              </w:rPr>
            </w:pPr>
            <w:r w:rsidRPr="003321EA">
              <w:rPr>
                <w:b/>
                <w:sz w:val="24"/>
              </w:rPr>
              <w:t>6%</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jc w:val="right"/>
              <w:rPr>
                <w:b/>
                <w:sz w:val="24"/>
              </w:rPr>
            </w:pPr>
            <w:r w:rsidRPr="003321EA">
              <w:rPr>
                <w:b/>
                <w:sz w:val="24"/>
              </w:rPr>
              <w:t>7%</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Total Costs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$18,202,117</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$19,151,653</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$19,407,595</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 xml:space="preserve">Capital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$24,699,747</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$23,954,473</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$23,596,162</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Maintenance Costs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-$4,548,782</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-$3,743,427</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-$3,404,119</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AD4CB8" w:rsidRDefault="002F0BE0" w:rsidP="00CC2A23">
            <w:pPr>
              <w:rPr>
                <w:b/>
              </w:rPr>
            </w:pPr>
            <w:r w:rsidRPr="003321EA">
              <w:rPr>
                <w:b/>
                <w:sz w:val="24"/>
              </w:rPr>
              <w:t>Residual Value</w:t>
            </w:r>
            <w:r w:rsidR="00CC2A23">
              <w:rPr>
                <w:b/>
                <w:sz w:val="18"/>
                <w:szCs w:val="18"/>
                <w:vertAlign w:val="superscript"/>
              </w:rPr>
              <w:t>9</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$1,948,847</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$1,059,393</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$784,448</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AD4CB8" w:rsidRDefault="002F0BE0" w:rsidP="004E7C39">
            <w:pPr>
              <w:rPr>
                <w:b/>
              </w:rPr>
            </w:pPr>
            <w:r w:rsidRPr="00AD4CB8">
              <w:rPr>
                <w:b/>
              </w:rPr>
              <w:t>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AD4CB8" w:rsidRDefault="002F0BE0" w:rsidP="004E7C39">
            <w:r w:rsidRPr="00AD4CB8">
              <w:t> </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AD4CB8" w:rsidRDefault="002F0BE0" w:rsidP="004E7C39">
            <w:r w:rsidRPr="00AD4CB8">
              <w:t> </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AD4CB8" w:rsidRDefault="002F0BE0" w:rsidP="004E7C39">
            <w:r w:rsidRPr="00AD4CB8">
              <w:t> </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 xml:space="preserve">Total Benefits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$286,427,661</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$185,417,299</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$150,159,406</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Heavy Vehicle VOC Savings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$161,142,163</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$104,057,707</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$84,175,685</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Heavy Vehicle TTC Savings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$71,055,429</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$46,292,706</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$37,599,225</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Accident Cost Savings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$24,923,977</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$16,115,536</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$13,044,559</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Externality Cost Savings</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$29,306,093</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$18,951,349</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$15,339,936</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rPr>
                <w:sz w:val="24"/>
              </w:rPr>
            </w:pPr>
            <w:r w:rsidRPr="003321EA">
              <w:rPr>
                <w:sz w:val="24"/>
              </w:rPr>
              <w:t> </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rPr>
                <w:sz w:val="24"/>
              </w:rPr>
            </w:pPr>
            <w:r w:rsidRPr="003321EA">
              <w:rPr>
                <w:sz w:val="24"/>
              </w:rPr>
              <w:t> </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rPr>
                <w:sz w:val="24"/>
              </w:rPr>
            </w:pPr>
            <w:r w:rsidRPr="003321EA">
              <w:rPr>
                <w:sz w:val="24"/>
              </w:rPr>
              <w:t> </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Net Present Value (NPV)</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$268,225,544</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$166,265,646</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$130,751,811</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NPV per Dollar Invested</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10.86 </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6.94 </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5.54 </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732FA1">
            <w:pPr>
              <w:rPr>
                <w:b/>
                <w:sz w:val="24"/>
              </w:rPr>
            </w:pPr>
            <w:r w:rsidRPr="003321EA">
              <w:rPr>
                <w:b/>
                <w:sz w:val="24"/>
              </w:rPr>
              <w:t xml:space="preserve">Net Benefit Investment Ratio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11.86 </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7.94 </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6.54 </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Benefit Cost Ratio (BCR)</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15.74 </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9.68 </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 xml:space="preserve">             7.74 </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3321EA">
            <w:pPr>
              <w:rPr>
                <w:b/>
                <w:sz w:val="24"/>
              </w:rPr>
            </w:pPr>
            <w:r w:rsidRPr="003321EA">
              <w:rPr>
                <w:b/>
                <w:sz w:val="24"/>
              </w:rPr>
              <w:t xml:space="preserve">First Year Rate of Return </w:t>
            </w:r>
          </w:p>
        </w:tc>
        <w:tc>
          <w:tcPr>
            <w:tcW w:w="1685" w:type="dxa"/>
            <w:tcBorders>
              <w:top w:val="single" w:sz="4" w:space="0" w:color="auto"/>
              <w:left w:val="single" w:sz="4" w:space="0" w:color="FCE4D6"/>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0%</w:t>
            </w:r>
          </w:p>
        </w:tc>
        <w:tc>
          <w:tcPr>
            <w:tcW w:w="16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0%</w:t>
            </w:r>
          </w:p>
        </w:tc>
        <w:tc>
          <w:tcPr>
            <w:tcW w:w="156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F0BE0" w:rsidRPr="003321EA" w:rsidRDefault="002F0BE0" w:rsidP="004E7C39">
            <w:pPr>
              <w:jc w:val="right"/>
              <w:rPr>
                <w:sz w:val="24"/>
              </w:rPr>
            </w:pPr>
            <w:r w:rsidRPr="003321EA">
              <w:rPr>
                <w:sz w:val="24"/>
              </w:rPr>
              <w:t>0%</w:t>
            </w:r>
          </w:p>
        </w:tc>
      </w:tr>
      <w:tr w:rsidR="002F0BE0" w:rsidRPr="005B5931" w:rsidTr="003321EA">
        <w:trPr>
          <w:trHeight w:val="284"/>
        </w:trPr>
        <w:tc>
          <w:tcPr>
            <w:tcW w:w="37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rPr>
                <w:b/>
                <w:sz w:val="24"/>
              </w:rPr>
            </w:pPr>
            <w:r w:rsidRPr="003321EA">
              <w:rPr>
                <w:b/>
                <w:sz w:val="24"/>
              </w:rPr>
              <w:t>Internal Rate of Return (IRR)</w:t>
            </w:r>
          </w:p>
        </w:tc>
        <w:tc>
          <w:tcPr>
            <w:tcW w:w="493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0BE0" w:rsidRPr="003321EA" w:rsidRDefault="002F0BE0" w:rsidP="004E7C39">
            <w:pPr>
              <w:jc w:val="center"/>
              <w:rPr>
                <w:sz w:val="24"/>
              </w:rPr>
            </w:pPr>
            <w:r w:rsidRPr="003321EA">
              <w:rPr>
                <w:sz w:val="24"/>
              </w:rPr>
              <w:t>19%</w:t>
            </w:r>
          </w:p>
        </w:tc>
      </w:tr>
    </w:tbl>
    <w:p w:rsidR="002F0BE0" w:rsidRDefault="002F0BE0" w:rsidP="003321EA">
      <w:pPr>
        <w:spacing w:after="240" w:line="300" w:lineRule="auto"/>
        <w:rPr>
          <w:sz w:val="24"/>
        </w:rPr>
      </w:pPr>
      <w:r>
        <w:rPr>
          <w:sz w:val="24"/>
        </w:rPr>
        <w:t>Source: TMR</w:t>
      </w:r>
      <w:r w:rsidRPr="00CB1E21">
        <w:rPr>
          <w:sz w:val="24"/>
        </w:rPr>
        <w:t xml:space="preserve"> (2014), Cost </w:t>
      </w:r>
      <w:r w:rsidR="008D42BA">
        <w:rPr>
          <w:sz w:val="24"/>
        </w:rPr>
        <w:t>B</w:t>
      </w:r>
      <w:r w:rsidRPr="00CB1E21">
        <w:rPr>
          <w:sz w:val="24"/>
        </w:rPr>
        <w:t>enefit Analysis Report – Jingi Jingi Creek Culvert Replacement</w:t>
      </w:r>
    </w:p>
    <w:p w:rsidR="006A204D" w:rsidRDefault="00F01A98" w:rsidP="00B922B7">
      <w:pPr>
        <w:spacing w:after="240" w:line="300" w:lineRule="auto"/>
        <w:rPr>
          <w:b/>
          <w:sz w:val="24"/>
        </w:rPr>
      </w:pPr>
      <w:r>
        <w:rPr>
          <w:noProof/>
          <w:sz w:val="24"/>
          <w:lang w:val="en-AU" w:eastAsia="en-AU"/>
        </w:rPr>
        <w:lastRenderedPageBreak/>
        <w:drawing>
          <wp:inline distT="0" distB="0" distL="0" distR="0">
            <wp:extent cx="5098480" cy="32670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810" cy="3326880"/>
                    </a:xfrm>
                    <a:prstGeom prst="rect">
                      <a:avLst/>
                    </a:prstGeom>
                    <a:noFill/>
                    <a:ln>
                      <a:noFill/>
                    </a:ln>
                  </pic:spPr>
                </pic:pic>
              </a:graphicData>
            </a:graphic>
          </wp:inline>
        </w:drawing>
      </w:r>
    </w:p>
    <w:p w:rsidR="006B31FB" w:rsidRDefault="002F0BE0" w:rsidP="00B922B7">
      <w:pPr>
        <w:spacing w:after="240" w:line="300" w:lineRule="auto"/>
        <w:rPr>
          <w:b/>
          <w:sz w:val="24"/>
        </w:rPr>
      </w:pPr>
      <w:r>
        <w:rPr>
          <w:b/>
          <w:sz w:val="24"/>
        </w:rPr>
        <w:t>Figure 3</w:t>
      </w:r>
      <w:r w:rsidRPr="00E52936">
        <w:rPr>
          <w:b/>
          <w:sz w:val="24"/>
        </w:rPr>
        <w:t xml:space="preserve">: </w:t>
      </w:r>
      <w:r>
        <w:rPr>
          <w:b/>
          <w:sz w:val="24"/>
        </w:rPr>
        <w:t>Breakdown of Benefits for Jingi Jingi Creek Upgrade</w:t>
      </w:r>
    </w:p>
    <w:p w:rsidR="002F0BE0" w:rsidRPr="003321EA" w:rsidRDefault="002F0BE0" w:rsidP="002F0BE0">
      <w:pPr>
        <w:pStyle w:val="Heading2"/>
        <w:numPr>
          <w:ilvl w:val="1"/>
          <w:numId w:val="11"/>
        </w:numPr>
        <w:ind w:left="0" w:hanging="567"/>
      </w:pPr>
      <w:r w:rsidRPr="003321EA">
        <w:t>Banana Creek Upgrade</w:t>
      </w:r>
    </w:p>
    <w:p w:rsidR="002F0BE0" w:rsidRDefault="002F0BE0" w:rsidP="002F0BE0">
      <w:pPr>
        <w:pStyle w:val="Text"/>
      </w:pPr>
      <w:r>
        <w:t xml:space="preserve">The </w:t>
      </w:r>
      <w:r w:rsidRPr="004D592E">
        <w:t xml:space="preserve">Regional Bridge Renewal Program (RBRP) </w:t>
      </w:r>
      <w:r>
        <w:t xml:space="preserve">was initially announced in the Department of Main Roads (DMR) 2005-2006 Annual Report. The program intended to fund the replacement of 100 timber bridges over five years. </w:t>
      </w:r>
      <w:r w:rsidRPr="004D592E">
        <w:t xml:space="preserve">The RBRP rapid CBA was conducted in 2013. </w:t>
      </w:r>
      <w:r>
        <w:t xml:space="preserve">The rapid CBA included </w:t>
      </w:r>
      <w:r w:rsidR="00BF0091">
        <w:t>65 proposed</w:t>
      </w:r>
      <w:r>
        <w:t xml:space="preserve"> rural bridges across Queensland. </w:t>
      </w:r>
      <w:r w:rsidRPr="004D592E">
        <w:t>Given</w:t>
      </w:r>
      <w:r w:rsidR="008D42BA">
        <w:t xml:space="preserve"> the</w:t>
      </w:r>
      <w:r w:rsidRPr="004D592E">
        <w:t xml:space="preserve"> tight timeframes and limited data, the same level of detail was not put into the RBRP projects as the </w:t>
      </w:r>
      <w:r>
        <w:t xml:space="preserve">WHU projects. The ‘use of smaller vehicles’ </w:t>
      </w:r>
      <w:r w:rsidR="00BF0091">
        <w:t xml:space="preserve">approach </w:t>
      </w:r>
      <w:r>
        <w:t xml:space="preserve">was deemed the most appropriate approach considering that diversion route data was not available. This paper highlights the Banana Creek Upgrade as an example from the RBRP. </w:t>
      </w:r>
    </w:p>
    <w:p w:rsidR="002F0BE0" w:rsidRDefault="002F0BE0" w:rsidP="002F0BE0">
      <w:pPr>
        <w:pStyle w:val="Text"/>
      </w:pPr>
      <w:r>
        <w:t xml:space="preserve">Banana Creek Bridge is located 5km south of the township of Banana, Queensland, </w:t>
      </w:r>
      <w:r w:rsidR="008B2A9B">
        <w:t>A</w:t>
      </w:r>
      <w:r w:rsidR="00586194">
        <w:t>ustralia. The existing Banana Creek Bridge is a small timber bridge that i</w:t>
      </w:r>
      <w:r>
        <w:t>s subject to load restrictions of 20 tonnes. Heavy vehicle</w:t>
      </w:r>
      <w:r w:rsidR="00586194">
        <w:t>s a</w:t>
      </w:r>
      <w:r w:rsidR="008B2A9B">
        <w:t>re</w:t>
      </w:r>
      <w:r>
        <w:t xml:space="preserve"> assumed to </w:t>
      </w:r>
      <w:r w:rsidR="008B2A9B">
        <w:t xml:space="preserve">only </w:t>
      </w:r>
      <w:r>
        <w:t>travel an average of 6km per vehicle. The 6km</w:t>
      </w:r>
      <w:r w:rsidR="00677408">
        <w:rPr>
          <w:sz w:val="18"/>
          <w:szCs w:val="18"/>
          <w:vertAlign w:val="superscript"/>
        </w:rPr>
        <w:t>10</w:t>
      </w:r>
      <w:r>
        <w:t xml:space="preserve"> was used as an average across all the RBRP projects, therefore may not necessarily represent the average distance travelled for a particular project. Therefore, the results of individual projects are unlikely to be accurate. The results of the overall program should be more accurate,</w:t>
      </w:r>
      <w:r w:rsidRPr="00C35723">
        <w:t xml:space="preserve"> </w:t>
      </w:r>
      <w:r>
        <w:t>considering the traffic data and road characteristics do not vary dramatically</w:t>
      </w:r>
      <w:r w:rsidR="00586194">
        <w:t xml:space="preserve"> for the parts of the network considered</w:t>
      </w:r>
      <w:r w:rsidR="008B2A9B">
        <w:t xml:space="preserve">, </w:t>
      </w:r>
      <w:r w:rsidR="008B2A9B">
        <w:lastRenderedPageBreak/>
        <w:t>and</w:t>
      </w:r>
      <w:r>
        <w:t xml:space="preserve"> the di</w:t>
      </w:r>
      <w:r w:rsidR="008B2A9B">
        <w:t>screpancies in each project should,</w:t>
      </w:r>
      <w:r>
        <w:t xml:space="preserve"> </w:t>
      </w:r>
      <w:r w:rsidR="008B2A9B">
        <w:t xml:space="preserve">to a certain extent, </w:t>
      </w:r>
      <w:r>
        <w:t xml:space="preserve">cancel each other out. </w:t>
      </w:r>
    </w:p>
    <w:p w:rsidR="002F0BE0" w:rsidRDefault="002F0BE0" w:rsidP="002F0BE0">
      <w:pPr>
        <w:pStyle w:val="Text"/>
      </w:pPr>
      <w:r>
        <w:t>The CBA was conducted using a simple excel spreadsheet rather than a more sophisticated model. The RUCs considered in this CBA were TTC, VOC and accident savings. VOC was calculated using the Austro</w:t>
      </w:r>
      <w:r w:rsidR="008B2A9B">
        <w:t>ads VOC formula rather than calculating</w:t>
      </w:r>
      <w:r>
        <w:t xml:space="preserve"> each </w:t>
      </w:r>
      <w:r w:rsidR="008D42BA">
        <w:t xml:space="preserve">individual </w:t>
      </w:r>
      <w:r>
        <w:t>VOC component. The formula is given in Equation 5.</w:t>
      </w:r>
    </w:p>
    <w:p w:rsidR="002F0BE0" w:rsidRPr="00095397" w:rsidRDefault="002F0BE0" w:rsidP="002F0BE0">
      <w:pPr>
        <w:pStyle w:val="Text"/>
      </w:pPr>
      <m:oMath>
        <m:r>
          <m:rPr>
            <m:nor/>
          </m:rPr>
          <m:t>VOC=A+</m:t>
        </m:r>
        <m:f>
          <m:fPr>
            <m:type m:val="lin"/>
            <m:ctrlPr>
              <w:rPr>
                <w:rFonts w:ascii="Cambria Math" w:hAnsi="Cambria Math"/>
              </w:rPr>
            </m:ctrlPr>
          </m:fPr>
          <m:num>
            <m:r>
              <m:rPr>
                <m:nor/>
              </m:rPr>
              <m:t>B</m:t>
            </m:r>
          </m:num>
          <m:den>
            <m:r>
              <m:rPr>
                <m:nor/>
              </m:rPr>
              <m:t>V+C×V+D×</m:t>
            </m:r>
            <m:sSup>
              <m:sSupPr>
                <m:ctrlPr>
                  <w:rPr>
                    <w:rFonts w:ascii="Cambria Math" w:hAnsi="Cambria Math"/>
                  </w:rPr>
                </m:ctrlPr>
              </m:sSupPr>
              <m:e>
                <m:r>
                  <m:rPr>
                    <m:nor/>
                  </m:rPr>
                  <m:t>V</m:t>
                </m:r>
              </m:e>
              <m:sup>
                <m:r>
                  <m:rPr>
                    <m:nor/>
                  </m:rPr>
                  <m:t>2</m:t>
                </m:r>
              </m:sup>
            </m:sSup>
          </m:den>
        </m:f>
      </m:oMath>
      <w:r w:rsidRPr="00095397">
        <w:t xml:space="preserve">                                                                                      (5)</w:t>
      </w:r>
    </w:p>
    <w:p w:rsidR="002F0BE0" w:rsidRPr="0035559D" w:rsidRDefault="002F0BE0" w:rsidP="00A26A55">
      <w:pPr>
        <w:pStyle w:val="Text"/>
        <w:spacing w:after="120"/>
      </w:pPr>
      <w:r w:rsidRPr="0035559D">
        <w:t>Where:</w:t>
      </w:r>
    </w:p>
    <w:p w:rsidR="002F0BE0" w:rsidRPr="0035559D" w:rsidRDefault="002F0BE0" w:rsidP="002F0BE0">
      <w:pPr>
        <w:pStyle w:val="Text"/>
      </w:pPr>
      <w:r w:rsidRPr="0035559D">
        <w:t>A, B, C, and D = model coefficients</w:t>
      </w:r>
    </w:p>
    <w:p w:rsidR="002F0BE0" w:rsidRPr="0035559D" w:rsidRDefault="002F0BE0" w:rsidP="002F0BE0">
      <w:pPr>
        <w:pStyle w:val="Text"/>
      </w:pPr>
      <w:r w:rsidRPr="0035559D">
        <w:t xml:space="preserve">                    C = VOC (cents/km)</w:t>
      </w:r>
    </w:p>
    <w:p w:rsidR="002F0BE0" w:rsidRPr="0035559D" w:rsidRDefault="002F0BE0" w:rsidP="002F0BE0">
      <w:pPr>
        <w:pStyle w:val="Text"/>
      </w:pPr>
      <w:r w:rsidRPr="0035559D">
        <w:t xml:space="preserve">                    V =average operating speed (km/h)</w:t>
      </w:r>
    </w:p>
    <w:p w:rsidR="002F0BE0" w:rsidRDefault="002F0BE0" w:rsidP="002F0BE0">
      <w:pPr>
        <w:pStyle w:val="Text"/>
      </w:pPr>
      <w:r>
        <w:t>The capital cost for</w:t>
      </w:r>
      <w:r w:rsidR="008B2A9B">
        <w:t xml:space="preserve"> upgrading Banana Creek Bridge wa</w:t>
      </w:r>
      <w:r>
        <w:t>s $4 million. In 2013, 225 heavy vehicles crossed the bridge. In the base case, the assumed breakdown of these heavy veh</w:t>
      </w:r>
      <w:r w:rsidR="00B922B7">
        <w:t>icles was 50% articulated, 25% b</w:t>
      </w:r>
      <w:r>
        <w:t>-double</w:t>
      </w:r>
      <w:r w:rsidR="006A204D">
        <w:rPr>
          <w:sz w:val="18"/>
          <w:szCs w:val="18"/>
          <w:vertAlign w:val="superscript"/>
        </w:rPr>
        <w:t>1</w:t>
      </w:r>
      <w:r w:rsidR="00CC2A23">
        <w:rPr>
          <w:sz w:val="18"/>
          <w:szCs w:val="18"/>
          <w:vertAlign w:val="superscript"/>
        </w:rPr>
        <w:t>1</w:t>
      </w:r>
      <w:r>
        <w:t xml:space="preserve">, and </w:t>
      </w:r>
      <w:r w:rsidR="00B922B7">
        <w:t>25% type 1 road t</w:t>
      </w:r>
      <w:r w:rsidR="008B2A9B">
        <w:t>rain</w:t>
      </w:r>
      <w:r>
        <w:t>. In project case</w:t>
      </w:r>
      <w:r w:rsidR="00732FA1">
        <w:rPr>
          <w:sz w:val="18"/>
          <w:szCs w:val="18"/>
          <w:vertAlign w:val="superscript"/>
        </w:rPr>
        <w:t>1</w:t>
      </w:r>
      <w:r w:rsidR="00677408">
        <w:rPr>
          <w:sz w:val="18"/>
          <w:szCs w:val="18"/>
          <w:vertAlign w:val="superscript"/>
        </w:rPr>
        <w:t>2</w:t>
      </w:r>
      <w:r>
        <w:t xml:space="preserve">, it has been assumed that with the removal </w:t>
      </w:r>
      <w:r w:rsidR="00783633">
        <w:t xml:space="preserve">of </w:t>
      </w:r>
      <w:r>
        <w:t>load restrictions that the usage of b-double and type 1 road trains w</w:t>
      </w:r>
      <w:r w:rsidR="00783633">
        <w:t>ould</w:t>
      </w:r>
      <w:r>
        <w:t xml:space="preserve"> i</w:t>
      </w:r>
      <w:r w:rsidR="008D42BA">
        <w:t>ncrease by 1/3 each. The total volume</w:t>
      </w:r>
      <w:r>
        <w:t xml:space="preserve"> of freight is assumed unchanged, therefore it is also assumed that the freight the b-double</w:t>
      </w:r>
      <w:r w:rsidR="008B2A9B">
        <w:t xml:space="preserve"> trucks and road trains</w:t>
      </w:r>
      <w:r>
        <w:t xml:space="preserve"> will be carrying freight </w:t>
      </w:r>
      <w:r w:rsidR="00066D90">
        <w:t>is currently being</w:t>
      </w:r>
      <w:r>
        <w:t xml:space="preserve"> carried by the articulated trucks. A b-double is assumed to carry 1.55 the load of an ar</w:t>
      </w:r>
      <w:r w:rsidR="00B922B7">
        <w:t>ticulated vehicle and a type 1 r</w:t>
      </w:r>
      <w:r>
        <w:t xml:space="preserve">oad train is assumed to carry 2 times the load of an articulated vehicle (TMR 2007). </w:t>
      </w:r>
    </w:p>
    <w:p w:rsidR="002F0BE0" w:rsidRDefault="002F0BE0" w:rsidP="002F0BE0">
      <w:pPr>
        <w:pStyle w:val="Text"/>
      </w:pPr>
      <w:r>
        <w:t>The number of heavy vehicles carrying freight in the project case have been derived in the following equat</w:t>
      </w:r>
      <w:r w:rsidR="00066D90">
        <w:t>ions and represented in Table 4</w:t>
      </w:r>
      <w:r>
        <w:t>.</w:t>
      </w:r>
    </w:p>
    <w:p w:rsidR="002F0BE0" w:rsidRPr="00095397" w:rsidRDefault="002F0BE0" w:rsidP="002F0BE0">
      <w:pPr>
        <w:pStyle w:val="Text"/>
      </w:pPr>
      <m:oMathPara>
        <m:oMathParaPr>
          <m:jc m:val="left"/>
        </m:oMathParaPr>
        <m:oMath>
          <m:r>
            <m:rPr>
              <m:nor/>
            </m:rPr>
            <m:t>B-doubles=AADT×%B-double×(1+%Increase)</m:t>
          </m:r>
        </m:oMath>
      </m:oMathPara>
    </w:p>
    <w:p w:rsidR="002F0BE0" w:rsidRPr="00095397" w:rsidRDefault="00066D90" w:rsidP="002F0BE0">
      <w:pPr>
        <w:pStyle w:val="Text"/>
      </w:pPr>
      <m:oMath>
        <m:r>
          <m:rPr>
            <m:nor/>
          </m:rPr>
          <m:t xml:space="preserve">                 =225×25%×</m:t>
        </m:r>
        <m:f>
          <m:fPr>
            <m:type m:val="lin"/>
            <m:ctrlPr>
              <w:rPr>
                <w:rFonts w:ascii="Cambria Math" w:hAnsi="Cambria Math"/>
              </w:rPr>
            </m:ctrlPr>
          </m:fPr>
          <m:num>
            <m:r>
              <m:rPr>
                <m:nor/>
              </m:rPr>
              <m:t>4</m:t>
            </m:r>
          </m:num>
          <m:den>
            <m:r>
              <m:rPr>
                <m:nor/>
              </m:rPr>
              <m:t>3</m:t>
            </m:r>
          </m:den>
        </m:f>
        <m:r>
          <m:rPr>
            <m:nor/>
          </m:rPr>
          <m:t>=56.25×</m:t>
        </m:r>
        <m:f>
          <m:fPr>
            <m:type m:val="lin"/>
            <m:ctrlPr>
              <w:rPr>
                <w:rFonts w:ascii="Cambria Math" w:hAnsi="Cambria Math"/>
              </w:rPr>
            </m:ctrlPr>
          </m:fPr>
          <m:num>
            <m:r>
              <m:rPr>
                <m:nor/>
              </m:rPr>
              <m:t>4</m:t>
            </m:r>
          </m:num>
          <m:den>
            <m:r>
              <m:rPr>
                <m:nor/>
              </m:rPr>
              <m:t>3</m:t>
            </m:r>
          </m:den>
        </m:f>
        <m:r>
          <m:rPr>
            <m:nor/>
          </m:rPr>
          <m:t>=75</m:t>
        </m:r>
      </m:oMath>
      <w:r w:rsidR="002F0BE0" w:rsidRPr="00095397">
        <w:t xml:space="preserve">                                                           (6)</w:t>
      </w:r>
    </w:p>
    <w:p w:rsidR="002F0BE0" w:rsidRPr="00095397" w:rsidRDefault="002F0BE0" w:rsidP="002F0BE0">
      <w:pPr>
        <w:pStyle w:val="Text"/>
      </w:pPr>
      <m:oMathPara>
        <m:oMathParaPr>
          <m:jc m:val="left"/>
        </m:oMathParaPr>
        <m:oMath>
          <m:r>
            <m:rPr>
              <m:nor/>
            </m:rPr>
            <m:t>Type 1 Road Trains=AADT×%Road Train(T1)×(1+%Increase)</m:t>
          </m:r>
        </m:oMath>
      </m:oMathPara>
    </w:p>
    <w:p w:rsidR="002F0BE0" w:rsidRPr="00095397" w:rsidRDefault="002F0BE0" w:rsidP="002F0BE0">
      <w:pPr>
        <w:pStyle w:val="Text"/>
      </w:pPr>
      <m:oMath>
        <m:r>
          <m:rPr>
            <m:nor/>
          </m:rPr>
          <m:t xml:space="preserve">                               =225×25%×</m:t>
        </m:r>
        <m:f>
          <m:fPr>
            <m:type m:val="lin"/>
            <m:ctrlPr>
              <w:rPr>
                <w:rFonts w:ascii="Cambria Math" w:hAnsi="Cambria Math"/>
              </w:rPr>
            </m:ctrlPr>
          </m:fPr>
          <m:num>
            <m:r>
              <m:rPr>
                <m:nor/>
              </m:rPr>
              <m:t>4</m:t>
            </m:r>
          </m:num>
          <m:den>
            <m:r>
              <m:rPr>
                <m:nor/>
              </m:rPr>
              <m:t>3=56.25×</m:t>
            </m:r>
            <m:f>
              <m:fPr>
                <m:type m:val="lin"/>
                <m:ctrlPr>
                  <w:rPr>
                    <w:rFonts w:ascii="Cambria Math" w:hAnsi="Cambria Math"/>
                  </w:rPr>
                </m:ctrlPr>
              </m:fPr>
              <m:num>
                <m:r>
                  <m:rPr>
                    <m:nor/>
                  </m:rPr>
                  <m:t>4</m:t>
                </m:r>
              </m:num>
              <m:den>
                <m:r>
                  <m:rPr>
                    <m:nor/>
                  </m:rPr>
                  <m:t>3</m:t>
                </m:r>
              </m:den>
            </m:f>
            <m:r>
              <m:rPr>
                <m:nor/>
              </m:rPr>
              <m:t>=75</m:t>
            </m:r>
          </m:den>
        </m:f>
      </m:oMath>
      <w:r w:rsidRPr="00095397">
        <w:t xml:space="preserve">             </w:t>
      </w:r>
      <w:r w:rsidR="00E56E59">
        <w:t xml:space="preserve">                       </w:t>
      </w:r>
      <w:r w:rsidRPr="00095397">
        <w:t>(7)</w:t>
      </w:r>
    </w:p>
    <w:p w:rsidR="002F0BE0" w:rsidRPr="00095397" w:rsidRDefault="002F0BE0" w:rsidP="00A26A55">
      <w:pPr>
        <w:pStyle w:val="Text"/>
        <w:spacing w:after="120"/>
      </w:pPr>
      <m:oMathPara>
        <m:oMathParaPr>
          <m:jc m:val="left"/>
        </m:oMathParaPr>
        <m:oMath>
          <m:r>
            <m:rPr>
              <m:nor/>
            </m:rPr>
            <m:t>Articulated Vehicles=AADT×%Articulated-∆B-double×1.55-∆Road Train(T1)×2</m:t>
          </m:r>
        </m:oMath>
      </m:oMathPara>
    </w:p>
    <w:p w:rsidR="002F0BE0" w:rsidRDefault="002F0BE0" w:rsidP="002F0BE0">
      <w:pPr>
        <w:pStyle w:val="Text"/>
      </w:pPr>
      <m:oMath>
        <m:r>
          <m:rPr>
            <m:nor/>
          </m:rPr>
          <m:t xml:space="preserve">                               =225×50%-(75-56.25)×1.55-(75-56.25)×2=45.9375</m:t>
        </m:r>
      </m:oMath>
      <w:r w:rsidR="00E56E59">
        <w:t xml:space="preserve">        </w:t>
      </w:r>
      <w:r w:rsidRPr="00095397">
        <w:t>(8)</w:t>
      </w:r>
    </w:p>
    <w:p w:rsidR="002F0BE0" w:rsidRPr="005A3E5B" w:rsidRDefault="00066D90" w:rsidP="002F0BE0">
      <w:pPr>
        <w:rPr>
          <w:b/>
          <w:sz w:val="24"/>
        </w:rPr>
      </w:pPr>
      <w:r>
        <w:rPr>
          <w:b/>
          <w:sz w:val="24"/>
        </w:rPr>
        <w:lastRenderedPageBreak/>
        <w:t>Table 4</w:t>
      </w:r>
      <w:r w:rsidR="002F0BE0" w:rsidRPr="005A3E5B">
        <w:rPr>
          <w:b/>
          <w:sz w:val="24"/>
        </w:rPr>
        <w:t>: Number of heavy Vehicles and Percentage Breakdown</w:t>
      </w:r>
    </w:p>
    <w:tbl>
      <w:tblPr>
        <w:tblW w:w="5000" w:type="pct"/>
        <w:tblLook w:val="04A0" w:firstRow="1" w:lastRow="0" w:firstColumn="1" w:lastColumn="0" w:noHBand="0" w:noVBand="1"/>
      </w:tblPr>
      <w:tblGrid>
        <w:gridCol w:w="1964"/>
        <w:gridCol w:w="1644"/>
        <w:gridCol w:w="1513"/>
        <w:gridCol w:w="1670"/>
        <w:gridCol w:w="1511"/>
      </w:tblGrid>
      <w:tr w:rsidR="00A26A55" w:rsidRPr="00F846C0" w:rsidTr="00A26A55">
        <w:trPr>
          <w:trHeight w:val="300"/>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6A55" w:rsidRPr="003321EA" w:rsidRDefault="00A26A55" w:rsidP="004E7C39">
            <w:pPr>
              <w:rPr>
                <w:b/>
                <w:color w:val="000000"/>
                <w:sz w:val="24"/>
                <w:lang w:eastAsia="en-AU"/>
              </w:rPr>
            </w:pPr>
            <w:r w:rsidRPr="003321EA">
              <w:rPr>
                <w:b/>
                <w:color w:val="000000"/>
                <w:sz w:val="24"/>
                <w:lang w:eastAsia="en-AU"/>
              </w:rPr>
              <w:t> </w:t>
            </w:r>
          </w:p>
        </w:tc>
        <w:tc>
          <w:tcPr>
            <w:tcW w:w="1901" w:type="pct"/>
            <w:gridSpan w:val="2"/>
            <w:tcBorders>
              <w:top w:val="single" w:sz="4" w:space="0" w:color="auto"/>
              <w:left w:val="nil"/>
              <w:bottom w:val="single" w:sz="4" w:space="0" w:color="auto"/>
              <w:right w:val="single" w:sz="4" w:space="0" w:color="auto"/>
            </w:tcBorders>
            <w:shd w:val="clear" w:color="auto" w:fill="auto"/>
            <w:noWrap/>
            <w:vAlign w:val="bottom"/>
            <w:hideMark/>
          </w:tcPr>
          <w:p w:rsidR="00A26A55" w:rsidRPr="003321EA" w:rsidRDefault="00A26A55" w:rsidP="00A26A55">
            <w:pPr>
              <w:jc w:val="center"/>
              <w:rPr>
                <w:b/>
                <w:color w:val="000000"/>
                <w:sz w:val="24"/>
                <w:lang w:eastAsia="en-AU"/>
              </w:rPr>
            </w:pPr>
            <w:r w:rsidRPr="003321EA">
              <w:rPr>
                <w:b/>
                <w:color w:val="000000"/>
                <w:sz w:val="24"/>
                <w:lang w:eastAsia="en-AU"/>
              </w:rPr>
              <w:t>Base Case</w:t>
            </w:r>
          </w:p>
        </w:tc>
        <w:tc>
          <w:tcPr>
            <w:tcW w:w="19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26A55" w:rsidRPr="003321EA" w:rsidRDefault="00A26A55" w:rsidP="00A26A55">
            <w:pPr>
              <w:jc w:val="center"/>
              <w:rPr>
                <w:b/>
                <w:color w:val="000000"/>
                <w:sz w:val="24"/>
                <w:lang w:eastAsia="en-AU"/>
              </w:rPr>
            </w:pPr>
            <w:r w:rsidRPr="003321EA">
              <w:rPr>
                <w:b/>
                <w:color w:val="000000"/>
                <w:sz w:val="24"/>
                <w:lang w:eastAsia="en-AU"/>
              </w:rPr>
              <w:t>Project Case</w:t>
            </w:r>
          </w:p>
        </w:tc>
      </w:tr>
      <w:tr w:rsidR="002F0BE0" w:rsidRPr="00F846C0" w:rsidTr="00A26A55">
        <w:trPr>
          <w:trHeight w:val="300"/>
        </w:trPr>
        <w:tc>
          <w:tcPr>
            <w:tcW w:w="1183" w:type="pct"/>
            <w:tcBorders>
              <w:top w:val="nil"/>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Heavy Vehicles</w:t>
            </w:r>
          </w:p>
        </w:tc>
        <w:tc>
          <w:tcPr>
            <w:tcW w:w="990" w:type="pct"/>
            <w:tcBorders>
              <w:top w:val="nil"/>
              <w:left w:val="nil"/>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No. Vehicles</w:t>
            </w:r>
          </w:p>
        </w:tc>
        <w:tc>
          <w:tcPr>
            <w:tcW w:w="911" w:type="pct"/>
            <w:tcBorders>
              <w:top w:val="nil"/>
              <w:left w:val="nil"/>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Percentage</w:t>
            </w:r>
          </w:p>
        </w:tc>
        <w:tc>
          <w:tcPr>
            <w:tcW w:w="1006" w:type="pct"/>
            <w:tcBorders>
              <w:top w:val="nil"/>
              <w:left w:val="nil"/>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No. Vehicles</w:t>
            </w:r>
          </w:p>
        </w:tc>
        <w:tc>
          <w:tcPr>
            <w:tcW w:w="910" w:type="pct"/>
            <w:tcBorders>
              <w:top w:val="nil"/>
              <w:left w:val="nil"/>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Percentage</w:t>
            </w:r>
          </w:p>
        </w:tc>
      </w:tr>
      <w:tr w:rsidR="002F0BE0" w:rsidRPr="00F846C0" w:rsidTr="00A26A55">
        <w:trPr>
          <w:trHeight w:val="300"/>
        </w:trPr>
        <w:tc>
          <w:tcPr>
            <w:tcW w:w="1183" w:type="pct"/>
            <w:tcBorders>
              <w:top w:val="nil"/>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Articulated</w:t>
            </w:r>
          </w:p>
        </w:tc>
        <w:tc>
          <w:tcPr>
            <w:tcW w:w="99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113</w:t>
            </w:r>
          </w:p>
        </w:tc>
        <w:tc>
          <w:tcPr>
            <w:tcW w:w="911"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50%</w:t>
            </w:r>
          </w:p>
        </w:tc>
        <w:tc>
          <w:tcPr>
            <w:tcW w:w="1006"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46</w:t>
            </w:r>
          </w:p>
        </w:tc>
        <w:tc>
          <w:tcPr>
            <w:tcW w:w="91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23%</w:t>
            </w:r>
          </w:p>
        </w:tc>
      </w:tr>
      <w:tr w:rsidR="002F0BE0" w:rsidRPr="00F846C0" w:rsidTr="00A26A55">
        <w:trPr>
          <w:trHeight w:val="300"/>
        </w:trPr>
        <w:tc>
          <w:tcPr>
            <w:tcW w:w="1183" w:type="pct"/>
            <w:tcBorders>
              <w:top w:val="nil"/>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B-double</w:t>
            </w:r>
          </w:p>
        </w:tc>
        <w:tc>
          <w:tcPr>
            <w:tcW w:w="99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56</w:t>
            </w:r>
          </w:p>
        </w:tc>
        <w:tc>
          <w:tcPr>
            <w:tcW w:w="911"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25%</w:t>
            </w:r>
          </w:p>
        </w:tc>
        <w:tc>
          <w:tcPr>
            <w:tcW w:w="1006"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75</w:t>
            </w:r>
          </w:p>
        </w:tc>
        <w:tc>
          <w:tcPr>
            <w:tcW w:w="91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38%</w:t>
            </w:r>
          </w:p>
        </w:tc>
      </w:tr>
      <w:tr w:rsidR="002F0BE0" w:rsidRPr="00F846C0" w:rsidTr="00A26A55">
        <w:trPr>
          <w:trHeight w:val="300"/>
        </w:trPr>
        <w:tc>
          <w:tcPr>
            <w:tcW w:w="1183" w:type="pct"/>
            <w:tcBorders>
              <w:top w:val="nil"/>
              <w:left w:val="single" w:sz="4" w:space="0" w:color="auto"/>
              <w:bottom w:val="single" w:sz="4" w:space="0" w:color="auto"/>
              <w:right w:val="single" w:sz="4" w:space="0" w:color="auto"/>
            </w:tcBorders>
            <w:shd w:val="clear" w:color="auto" w:fill="auto"/>
            <w:noWrap/>
            <w:vAlign w:val="bottom"/>
            <w:hideMark/>
          </w:tcPr>
          <w:p w:rsidR="002F0BE0" w:rsidRPr="003321EA" w:rsidRDefault="00B922B7" w:rsidP="004E7C39">
            <w:pPr>
              <w:rPr>
                <w:b/>
                <w:color w:val="000000"/>
                <w:sz w:val="24"/>
                <w:lang w:eastAsia="en-AU"/>
              </w:rPr>
            </w:pPr>
            <w:r>
              <w:rPr>
                <w:b/>
                <w:color w:val="000000"/>
                <w:sz w:val="24"/>
                <w:lang w:eastAsia="en-AU"/>
              </w:rPr>
              <w:t>Road Train</w:t>
            </w:r>
          </w:p>
        </w:tc>
        <w:tc>
          <w:tcPr>
            <w:tcW w:w="99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56</w:t>
            </w:r>
          </w:p>
        </w:tc>
        <w:tc>
          <w:tcPr>
            <w:tcW w:w="911"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25%</w:t>
            </w:r>
          </w:p>
        </w:tc>
        <w:tc>
          <w:tcPr>
            <w:tcW w:w="1006"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75</w:t>
            </w:r>
          </w:p>
        </w:tc>
        <w:tc>
          <w:tcPr>
            <w:tcW w:w="91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38%</w:t>
            </w:r>
          </w:p>
        </w:tc>
      </w:tr>
      <w:tr w:rsidR="002F0BE0" w:rsidRPr="00F846C0" w:rsidTr="00A26A55">
        <w:trPr>
          <w:trHeight w:val="300"/>
        </w:trPr>
        <w:tc>
          <w:tcPr>
            <w:tcW w:w="1183" w:type="pct"/>
            <w:tcBorders>
              <w:top w:val="nil"/>
              <w:left w:val="single" w:sz="4" w:space="0" w:color="auto"/>
              <w:bottom w:val="single" w:sz="4" w:space="0" w:color="auto"/>
              <w:right w:val="single" w:sz="4" w:space="0" w:color="auto"/>
            </w:tcBorders>
            <w:shd w:val="clear" w:color="auto" w:fill="auto"/>
            <w:noWrap/>
            <w:vAlign w:val="bottom"/>
            <w:hideMark/>
          </w:tcPr>
          <w:p w:rsidR="002F0BE0" w:rsidRPr="003321EA" w:rsidRDefault="002F0BE0" w:rsidP="004E7C39">
            <w:pPr>
              <w:rPr>
                <w:b/>
                <w:color w:val="000000"/>
                <w:sz w:val="24"/>
                <w:lang w:eastAsia="en-AU"/>
              </w:rPr>
            </w:pPr>
            <w:r w:rsidRPr="003321EA">
              <w:rPr>
                <w:b/>
                <w:color w:val="000000"/>
                <w:sz w:val="24"/>
                <w:lang w:eastAsia="en-AU"/>
              </w:rPr>
              <w:t>Total</w:t>
            </w:r>
          </w:p>
        </w:tc>
        <w:tc>
          <w:tcPr>
            <w:tcW w:w="99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225</w:t>
            </w:r>
          </w:p>
        </w:tc>
        <w:tc>
          <w:tcPr>
            <w:tcW w:w="911"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100%</w:t>
            </w:r>
          </w:p>
        </w:tc>
        <w:tc>
          <w:tcPr>
            <w:tcW w:w="1006"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196</w:t>
            </w:r>
          </w:p>
        </w:tc>
        <w:tc>
          <w:tcPr>
            <w:tcW w:w="910" w:type="pct"/>
            <w:tcBorders>
              <w:top w:val="nil"/>
              <w:left w:val="nil"/>
              <w:bottom w:val="single" w:sz="4" w:space="0" w:color="auto"/>
              <w:right w:val="single" w:sz="4" w:space="0" w:color="auto"/>
            </w:tcBorders>
            <w:shd w:val="clear" w:color="auto" w:fill="auto"/>
            <w:noWrap/>
            <w:vAlign w:val="bottom"/>
            <w:hideMark/>
          </w:tcPr>
          <w:p w:rsidR="002F0BE0" w:rsidRPr="00F846C0" w:rsidRDefault="002F0BE0" w:rsidP="004E7C39">
            <w:pPr>
              <w:jc w:val="right"/>
              <w:rPr>
                <w:color w:val="000000"/>
                <w:sz w:val="24"/>
                <w:lang w:eastAsia="en-AU"/>
              </w:rPr>
            </w:pPr>
            <w:r w:rsidRPr="00F846C0">
              <w:rPr>
                <w:color w:val="000000"/>
                <w:sz w:val="24"/>
                <w:lang w:eastAsia="en-AU"/>
              </w:rPr>
              <w:t>100%</w:t>
            </w:r>
          </w:p>
        </w:tc>
      </w:tr>
    </w:tbl>
    <w:p w:rsidR="002F0BE0" w:rsidRDefault="002F0BE0" w:rsidP="00B47A9C">
      <w:pPr>
        <w:spacing w:after="240" w:line="300" w:lineRule="auto"/>
        <w:rPr>
          <w:sz w:val="24"/>
        </w:rPr>
      </w:pPr>
      <w:r>
        <w:rPr>
          <w:sz w:val="24"/>
        </w:rPr>
        <w:t>Source: TMR 2013, Regional Bridge Renewal Program Spreadsheet</w:t>
      </w:r>
    </w:p>
    <w:p w:rsidR="008D42BA" w:rsidRDefault="002F0BE0" w:rsidP="002F0BE0">
      <w:pPr>
        <w:pStyle w:val="Text"/>
      </w:pPr>
      <w:r>
        <w:t xml:space="preserve">The selected economic indicators used to determine the economic viability of </w:t>
      </w:r>
      <w:bookmarkStart w:id="0" w:name="_GoBack"/>
      <w:bookmarkEnd w:id="0"/>
      <w:r>
        <w:t>Banana Creek Bridge Upgrade were the NPV, BCR, and NBIR. The results indicate that Banana Creek Bridge is just economically viable with a BCR barely above one at a dis</w:t>
      </w:r>
      <w:r w:rsidR="004E7C39">
        <w:t>count rate of 4%. Table 5</w:t>
      </w:r>
      <w:r>
        <w:t xml:space="preserve"> contains the results of the </w:t>
      </w:r>
      <w:r w:rsidR="00442E0C">
        <w:t>B</w:t>
      </w:r>
      <w:r>
        <w:t>anana Creek CBA.</w:t>
      </w:r>
    </w:p>
    <w:p w:rsidR="002F0BE0" w:rsidRPr="00775E61" w:rsidRDefault="004E7C39" w:rsidP="002F0BE0">
      <w:pPr>
        <w:rPr>
          <w:b/>
          <w:sz w:val="24"/>
        </w:rPr>
      </w:pPr>
      <w:r>
        <w:rPr>
          <w:b/>
          <w:sz w:val="24"/>
        </w:rPr>
        <w:t>Table 6</w:t>
      </w:r>
      <w:r w:rsidR="002F0BE0" w:rsidRPr="00775E61">
        <w:rPr>
          <w:b/>
          <w:sz w:val="24"/>
        </w:rPr>
        <w:t>: Results of the Banana Creek Bridge CBA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3"/>
        <w:gridCol w:w="2789"/>
      </w:tblGrid>
      <w:tr w:rsidR="002F0BE0" w:rsidRPr="00782E2E" w:rsidTr="004E7C39">
        <w:trPr>
          <w:trHeight w:val="270"/>
        </w:trPr>
        <w:tc>
          <w:tcPr>
            <w:tcW w:w="3320" w:type="pct"/>
            <w:shd w:val="clear" w:color="auto" w:fill="auto"/>
            <w:noWrap/>
            <w:vAlign w:val="bottom"/>
            <w:hideMark/>
          </w:tcPr>
          <w:p w:rsidR="002F0BE0" w:rsidRPr="003321EA" w:rsidRDefault="002F0BE0" w:rsidP="004E7C39">
            <w:pPr>
              <w:rPr>
                <w:b/>
                <w:sz w:val="24"/>
                <w:lang w:eastAsia="en-AU"/>
              </w:rPr>
            </w:pPr>
            <w:r w:rsidRPr="003321EA">
              <w:rPr>
                <w:b/>
                <w:sz w:val="24"/>
                <w:lang w:eastAsia="en-AU"/>
              </w:rPr>
              <w:t>Discount Rate</w:t>
            </w:r>
          </w:p>
        </w:tc>
        <w:tc>
          <w:tcPr>
            <w:tcW w:w="1680" w:type="pct"/>
            <w:shd w:val="clear" w:color="auto" w:fill="auto"/>
            <w:noWrap/>
            <w:vAlign w:val="bottom"/>
            <w:hideMark/>
          </w:tcPr>
          <w:p w:rsidR="002F0BE0" w:rsidRPr="003321EA" w:rsidRDefault="002F0BE0" w:rsidP="004E7C39">
            <w:pPr>
              <w:jc w:val="right"/>
              <w:rPr>
                <w:b/>
                <w:sz w:val="24"/>
                <w:lang w:eastAsia="en-AU"/>
              </w:rPr>
            </w:pPr>
            <w:r w:rsidRPr="003321EA">
              <w:rPr>
                <w:b/>
                <w:sz w:val="24"/>
                <w:lang w:eastAsia="en-AU"/>
              </w:rPr>
              <w:t>4%</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Capital</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$3,620,885</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Maintenance Cost Reduction</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$825,781</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Benefits</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$3,376,857</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Net Present Value</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$581,752</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Benefits Cost Ratio</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 xml:space="preserve">                 1.21 </w:t>
            </w:r>
          </w:p>
        </w:tc>
      </w:tr>
      <w:tr w:rsidR="002F0BE0" w:rsidRPr="00782E2E" w:rsidTr="004E7C39">
        <w:trPr>
          <w:trHeight w:val="255"/>
        </w:trPr>
        <w:tc>
          <w:tcPr>
            <w:tcW w:w="3320" w:type="pct"/>
            <w:shd w:val="clear" w:color="auto" w:fill="auto"/>
            <w:noWrap/>
            <w:vAlign w:val="bottom"/>
            <w:hideMark/>
          </w:tcPr>
          <w:p w:rsidR="002F0BE0" w:rsidRPr="00B47A9C" w:rsidRDefault="002F0BE0" w:rsidP="004E7C39">
            <w:pPr>
              <w:rPr>
                <w:b/>
                <w:sz w:val="24"/>
                <w:lang w:eastAsia="en-AU"/>
              </w:rPr>
            </w:pPr>
            <w:r w:rsidRPr="00B47A9C">
              <w:rPr>
                <w:b/>
                <w:sz w:val="24"/>
                <w:lang w:eastAsia="en-AU"/>
              </w:rPr>
              <w:t>Net Benefit Investment Ratio</w:t>
            </w:r>
          </w:p>
        </w:tc>
        <w:tc>
          <w:tcPr>
            <w:tcW w:w="1680" w:type="pct"/>
            <w:shd w:val="clear" w:color="auto" w:fill="auto"/>
            <w:noWrap/>
            <w:vAlign w:val="bottom"/>
            <w:hideMark/>
          </w:tcPr>
          <w:p w:rsidR="002F0BE0" w:rsidRPr="00782E2E" w:rsidRDefault="002F0BE0" w:rsidP="004E7C39">
            <w:pPr>
              <w:jc w:val="right"/>
              <w:rPr>
                <w:sz w:val="24"/>
                <w:lang w:eastAsia="en-AU"/>
              </w:rPr>
            </w:pPr>
            <w:r w:rsidRPr="00782E2E">
              <w:rPr>
                <w:sz w:val="24"/>
                <w:lang w:eastAsia="en-AU"/>
              </w:rPr>
              <w:t xml:space="preserve">                 1.16 </w:t>
            </w:r>
          </w:p>
        </w:tc>
      </w:tr>
    </w:tbl>
    <w:p w:rsidR="002F0BE0" w:rsidRDefault="002F0BE0" w:rsidP="00B47A9C">
      <w:pPr>
        <w:pStyle w:val="Text"/>
      </w:pPr>
      <w:r>
        <w:t>Source: TMR 2013, Regional Bridge Renewal Program Spreadsheet</w:t>
      </w:r>
    </w:p>
    <w:p w:rsidR="002F0BE0" w:rsidRDefault="002F0BE0" w:rsidP="002F0BE0">
      <w:pPr>
        <w:pStyle w:val="Text"/>
      </w:pPr>
      <w:r>
        <w:t>Results of individual projects in the RBRP should not be taken as an accurate reflection of each project due to the averaging of distances travel</w:t>
      </w:r>
      <w:r w:rsidR="004E7C39">
        <w:t>led across the program. Table 6</w:t>
      </w:r>
      <w:r>
        <w:t xml:space="preserve"> contains the results of program. </w:t>
      </w:r>
    </w:p>
    <w:p w:rsidR="002F0BE0" w:rsidRPr="00775E61" w:rsidRDefault="004E7C39" w:rsidP="002F0BE0">
      <w:pPr>
        <w:rPr>
          <w:b/>
          <w:sz w:val="24"/>
        </w:rPr>
      </w:pPr>
      <w:r>
        <w:rPr>
          <w:b/>
          <w:sz w:val="24"/>
        </w:rPr>
        <w:t>Table 6</w:t>
      </w:r>
      <w:r w:rsidR="002F0BE0" w:rsidRPr="00775E61">
        <w:rPr>
          <w:b/>
          <w:sz w:val="24"/>
        </w:rPr>
        <w:t>: Results for the RBRP</w:t>
      </w:r>
    </w:p>
    <w:tbl>
      <w:tblPr>
        <w:tblW w:w="5000" w:type="pct"/>
        <w:tblLook w:val="04A0" w:firstRow="1" w:lastRow="0" w:firstColumn="1" w:lastColumn="0" w:noHBand="0" w:noVBand="1"/>
      </w:tblPr>
      <w:tblGrid>
        <w:gridCol w:w="4802"/>
        <w:gridCol w:w="3500"/>
      </w:tblGrid>
      <w:tr w:rsidR="002F0BE0" w:rsidRPr="00775E61" w:rsidTr="004E7C39">
        <w:trPr>
          <w:trHeight w:val="240"/>
        </w:trPr>
        <w:tc>
          <w:tcPr>
            <w:tcW w:w="28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BE0" w:rsidRPr="00775E61" w:rsidRDefault="002F0BE0" w:rsidP="004E7C39">
            <w:pPr>
              <w:rPr>
                <w:b/>
                <w:bCs/>
                <w:sz w:val="24"/>
                <w:lang w:eastAsia="en-AU"/>
              </w:rPr>
            </w:pPr>
            <w:r w:rsidRPr="00775E61">
              <w:rPr>
                <w:b/>
                <w:bCs/>
                <w:sz w:val="24"/>
                <w:lang w:eastAsia="en-AU"/>
              </w:rPr>
              <w:t>Discount rate</w:t>
            </w:r>
          </w:p>
        </w:tc>
        <w:tc>
          <w:tcPr>
            <w:tcW w:w="2108" w:type="pct"/>
            <w:tcBorders>
              <w:top w:val="single" w:sz="4" w:space="0" w:color="auto"/>
              <w:left w:val="nil"/>
              <w:bottom w:val="single" w:sz="4" w:space="0" w:color="auto"/>
              <w:right w:val="single" w:sz="4" w:space="0" w:color="auto"/>
            </w:tcBorders>
            <w:shd w:val="clear" w:color="auto" w:fill="auto"/>
            <w:noWrap/>
            <w:vAlign w:val="bottom"/>
            <w:hideMark/>
          </w:tcPr>
          <w:p w:rsidR="002F0BE0" w:rsidRPr="00B47A9C" w:rsidRDefault="002F0BE0" w:rsidP="004E7C39">
            <w:pPr>
              <w:jc w:val="right"/>
              <w:rPr>
                <w:b/>
                <w:sz w:val="24"/>
                <w:lang w:eastAsia="en-AU"/>
              </w:rPr>
            </w:pPr>
            <w:r w:rsidRPr="00B47A9C">
              <w:rPr>
                <w:b/>
                <w:sz w:val="24"/>
                <w:lang w:eastAsia="en-AU"/>
              </w:rPr>
              <w:t>4%</w:t>
            </w:r>
          </w:p>
        </w:tc>
      </w:tr>
      <w:tr w:rsidR="002F0BE0" w:rsidRPr="00775E61" w:rsidTr="004E7C39">
        <w:trPr>
          <w:trHeight w:val="255"/>
        </w:trPr>
        <w:tc>
          <w:tcPr>
            <w:tcW w:w="2892" w:type="pct"/>
            <w:tcBorders>
              <w:top w:val="nil"/>
              <w:left w:val="single" w:sz="4" w:space="0" w:color="auto"/>
              <w:bottom w:val="single" w:sz="4" w:space="0" w:color="auto"/>
              <w:right w:val="single" w:sz="4" w:space="0" w:color="auto"/>
            </w:tcBorders>
            <w:shd w:val="clear" w:color="auto" w:fill="auto"/>
            <w:noWrap/>
            <w:vAlign w:val="bottom"/>
            <w:hideMark/>
          </w:tcPr>
          <w:p w:rsidR="002F0BE0" w:rsidRPr="00B47A9C" w:rsidRDefault="002F0BE0" w:rsidP="004E7C39">
            <w:pPr>
              <w:rPr>
                <w:b/>
                <w:sz w:val="24"/>
                <w:lang w:eastAsia="en-AU"/>
              </w:rPr>
            </w:pPr>
            <w:r w:rsidRPr="00B47A9C">
              <w:rPr>
                <w:b/>
                <w:sz w:val="24"/>
                <w:lang w:eastAsia="en-AU"/>
              </w:rPr>
              <w:t>Costs (Capital &amp; Maintenance Costs)</w:t>
            </w:r>
          </w:p>
        </w:tc>
        <w:tc>
          <w:tcPr>
            <w:tcW w:w="2108" w:type="pct"/>
            <w:tcBorders>
              <w:top w:val="nil"/>
              <w:left w:val="nil"/>
              <w:bottom w:val="single" w:sz="4" w:space="0" w:color="auto"/>
              <w:right w:val="single" w:sz="4" w:space="0" w:color="auto"/>
            </w:tcBorders>
            <w:shd w:val="clear" w:color="auto" w:fill="auto"/>
            <w:noWrap/>
            <w:vAlign w:val="bottom"/>
            <w:hideMark/>
          </w:tcPr>
          <w:p w:rsidR="002F0BE0" w:rsidRPr="00775E61" w:rsidRDefault="002F0BE0" w:rsidP="004E7C39">
            <w:pPr>
              <w:jc w:val="right"/>
              <w:rPr>
                <w:sz w:val="24"/>
                <w:lang w:eastAsia="en-AU"/>
              </w:rPr>
            </w:pPr>
            <w:r w:rsidRPr="00775E61">
              <w:rPr>
                <w:sz w:val="24"/>
                <w:lang w:eastAsia="en-AU"/>
              </w:rPr>
              <w:t>$189,889,607</w:t>
            </w:r>
          </w:p>
        </w:tc>
      </w:tr>
      <w:tr w:rsidR="002F0BE0" w:rsidRPr="00775E61" w:rsidTr="004E7C39">
        <w:trPr>
          <w:trHeight w:val="255"/>
        </w:trPr>
        <w:tc>
          <w:tcPr>
            <w:tcW w:w="2892" w:type="pct"/>
            <w:tcBorders>
              <w:top w:val="nil"/>
              <w:left w:val="single" w:sz="4" w:space="0" w:color="auto"/>
              <w:bottom w:val="single" w:sz="4" w:space="0" w:color="auto"/>
              <w:right w:val="single" w:sz="4" w:space="0" w:color="auto"/>
            </w:tcBorders>
            <w:shd w:val="clear" w:color="auto" w:fill="auto"/>
            <w:noWrap/>
            <w:vAlign w:val="bottom"/>
            <w:hideMark/>
          </w:tcPr>
          <w:p w:rsidR="002F0BE0" w:rsidRPr="00B47A9C" w:rsidRDefault="002F0BE0" w:rsidP="004E7C39">
            <w:pPr>
              <w:rPr>
                <w:b/>
                <w:sz w:val="24"/>
                <w:lang w:eastAsia="en-AU"/>
              </w:rPr>
            </w:pPr>
            <w:r w:rsidRPr="00B47A9C">
              <w:rPr>
                <w:b/>
                <w:sz w:val="24"/>
                <w:lang w:eastAsia="en-AU"/>
              </w:rPr>
              <w:t>Benefits</w:t>
            </w:r>
          </w:p>
        </w:tc>
        <w:tc>
          <w:tcPr>
            <w:tcW w:w="2108" w:type="pct"/>
            <w:tcBorders>
              <w:top w:val="nil"/>
              <w:left w:val="nil"/>
              <w:bottom w:val="single" w:sz="4" w:space="0" w:color="auto"/>
              <w:right w:val="single" w:sz="4" w:space="0" w:color="auto"/>
            </w:tcBorders>
            <w:shd w:val="clear" w:color="auto" w:fill="auto"/>
            <w:noWrap/>
            <w:vAlign w:val="bottom"/>
            <w:hideMark/>
          </w:tcPr>
          <w:p w:rsidR="002F0BE0" w:rsidRPr="00775E61" w:rsidRDefault="002F0BE0" w:rsidP="004E7C39">
            <w:pPr>
              <w:jc w:val="right"/>
              <w:rPr>
                <w:sz w:val="24"/>
                <w:lang w:eastAsia="en-AU"/>
              </w:rPr>
            </w:pPr>
            <w:r w:rsidRPr="00775E61">
              <w:rPr>
                <w:sz w:val="24"/>
                <w:lang w:eastAsia="en-AU"/>
              </w:rPr>
              <w:t>$211,099,426</w:t>
            </w:r>
          </w:p>
        </w:tc>
      </w:tr>
      <w:tr w:rsidR="002F0BE0" w:rsidRPr="00775E61" w:rsidTr="004E7C39">
        <w:trPr>
          <w:trHeight w:val="255"/>
        </w:trPr>
        <w:tc>
          <w:tcPr>
            <w:tcW w:w="2892" w:type="pct"/>
            <w:tcBorders>
              <w:top w:val="nil"/>
              <w:left w:val="single" w:sz="4" w:space="0" w:color="auto"/>
              <w:bottom w:val="single" w:sz="4" w:space="0" w:color="auto"/>
              <w:right w:val="single" w:sz="4" w:space="0" w:color="auto"/>
            </w:tcBorders>
            <w:shd w:val="clear" w:color="auto" w:fill="auto"/>
            <w:noWrap/>
            <w:vAlign w:val="bottom"/>
            <w:hideMark/>
          </w:tcPr>
          <w:p w:rsidR="002F0BE0" w:rsidRPr="00B47A9C" w:rsidRDefault="002F0BE0" w:rsidP="004E7C39">
            <w:pPr>
              <w:rPr>
                <w:b/>
                <w:sz w:val="24"/>
                <w:lang w:eastAsia="en-AU"/>
              </w:rPr>
            </w:pPr>
            <w:r w:rsidRPr="00B47A9C">
              <w:rPr>
                <w:b/>
                <w:sz w:val="24"/>
                <w:lang w:eastAsia="en-AU"/>
              </w:rPr>
              <w:t>Net Present Value</w:t>
            </w:r>
          </w:p>
        </w:tc>
        <w:tc>
          <w:tcPr>
            <w:tcW w:w="2108" w:type="pct"/>
            <w:tcBorders>
              <w:top w:val="nil"/>
              <w:left w:val="nil"/>
              <w:bottom w:val="single" w:sz="4" w:space="0" w:color="auto"/>
              <w:right w:val="single" w:sz="4" w:space="0" w:color="auto"/>
            </w:tcBorders>
            <w:shd w:val="clear" w:color="auto" w:fill="auto"/>
            <w:noWrap/>
            <w:vAlign w:val="bottom"/>
            <w:hideMark/>
          </w:tcPr>
          <w:p w:rsidR="002F0BE0" w:rsidRPr="00775E61" w:rsidRDefault="002F0BE0" w:rsidP="004E7C39">
            <w:pPr>
              <w:jc w:val="right"/>
              <w:rPr>
                <w:sz w:val="24"/>
                <w:lang w:eastAsia="en-AU"/>
              </w:rPr>
            </w:pPr>
            <w:r w:rsidRPr="00775E61">
              <w:rPr>
                <w:sz w:val="24"/>
                <w:lang w:eastAsia="en-AU"/>
              </w:rPr>
              <w:t>$21,209,819</w:t>
            </w:r>
          </w:p>
        </w:tc>
      </w:tr>
      <w:tr w:rsidR="002F0BE0" w:rsidRPr="00775E61" w:rsidTr="004E7C39">
        <w:trPr>
          <w:trHeight w:val="255"/>
        </w:trPr>
        <w:tc>
          <w:tcPr>
            <w:tcW w:w="2892" w:type="pct"/>
            <w:tcBorders>
              <w:top w:val="nil"/>
              <w:left w:val="single" w:sz="4" w:space="0" w:color="auto"/>
              <w:bottom w:val="single" w:sz="4" w:space="0" w:color="auto"/>
              <w:right w:val="single" w:sz="4" w:space="0" w:color="auto"/>
            </w:tcBorders>
            <w:shd w:val="clear" w:color="auto" w:fill="auto"/>
            <w:noWrap/>
            <w:vAlign w:val="bottom"/>
            <w:hideMark/>
          </w:tcPr>
          <w:p w:rsidR="002F0BE0" w:rsidRPr="00B47A9C" w:rsidRDefault="002F0BE0" w:rsidP="004E7C39">
            <w:pPr>
              <w:rPr>
                <w:b/>
                <w:sz w:val="24"/>
                <w:lang w:eastAsia="en-AU"/>
              </w:rPr>
            </w:pPr>
            <w:r w:rsidRPr="00B47A9C">
              <w:rPr>
                <w:b/>
                <w:sz w:val="24"/>
                <w:lang w:eastAsia="en-AU"/>
              </w:rPr>
              <w:t>Benefit Cost Ratio</w:t>
            </w:r>
          </w:p>
        </w:tc>
        <w:tc>
          <w:tcPr>
            <w:tcW w:w="2108" w:type="pct"/>
            <w:tcBorders>
              <w:top w:val="nil"/>
              <w:left w:val="nil"/>
              <w:bottom w:val="single" w:sz="4" w:space="0" w:color="auto"/>
              <w:right w:val="single" w:sz="4" w:space="0" w:color="auto"/>
            </w:tcBorders>
            <w:shd w:val="clear" w:color="auto" w:fill="auto"/>
            <w:noWrap/>
            <w:vAlign w:val="bottom"/>
            <w:hideMark/>
          </w:tcPr>
          <w:p w:rsidR="002F0BE0" w:rsidRPr="00775E61" w:rsidRDefault="002F0BE0" w:rsidP="004E7C39">
            <w:pPr>
              <w:jc w:val="right"/>
              <w:rPr>
                <w:sz w:val="24"/>
                <w:lang w:eastAsia="en-AU"/>
              </w:rPr>
            </w:pPr>
            <w:r w:rsidRPr="00775E61">
              <w:rPr>
                <w:sz w:val="24"/>
                <w:lang w:eastAsia="en-AU"/>
              </w:rPr>
              <w:t>1.11</w:t>
            </w:r>
          </w:p>
        </w:tc>
      </w:tr>
    </w:tbl>
    <w:p w:rsidR="002F0BE0" w:rsidRDefault="002F0BE0" w:rsidP="00B47A9C">
      <w:pPr>
        <w:pStyle w:val="Text"/>
      </w:pPr>
      <w:r>
        <w:t>Source: TMR 2013, Regional Bridge Renewal Program Spreadsheet</w:t>
      </w:r>
    </w:p>
    <w:p w:rsidR="002F0BE0" w:rsidRPr="0035559D" w:rsidRDefault="002F0BE0" w:rsidP="00B47A9C">
      <w:pPr>
        <w:pStyle w:val="Text"/>
      </w:pPr>
      <w:r>
        <w:t>The BCR of the program is very similar to that of Banana Creek Bridge. This can be expected considering the similarities between projects.</w:t>
      </w:r>
    </w:p>
    <w:p w:rsidR="002F0BE0" w:rsidRPr="003D4344" w:rsidRDefault="002F0BE0" w:rsidP="002F0BE0">
      <w:pPr>
        <w:pStyle w:val="Heading1"/>
        <w:numPr>
          <w:ilvl w:val="0"/>
          <w:numId w:val="11"/>
        </w:numPr>
        <w:ind w:left="0" w:hanging="567"/>
      </w:pPr>
      <w:r w:rsidRPr="003D4344">
        <w:t>Conclusion</w:t>
      </w:r>
    </w:p>
    <w:p w:rsidR="002F0BE0" w:rsidRDefault="002F0BE0" w:rsidP="002F0BE0">
      <w:pPr>
        <w:pStyle w:val="Text"/>
      </w:pPr>
      <w:r w:rsidRPr="007D3356">
        <w:t xml:space="preserve">The key </w:t>
      </w:r>
      <w:r w:rsidR="00442E0C">
        <w:t>determinant</w:t>
      </w:r>
      <w:r w:rsidRPr="007D3356">
        <w:t xml:space="preserve">s of benefits </w:t>
      </w:r>
      <w:r>
        <w:t>for rural bridge</w:t>
      </w:r>
      <w:r w:rsidR="004E7C39">
        <w:t>s</w:t>
      </w:r>
      <w:r>
        <w:t xml:space="preserve"> go beyond traffic volume. Additional key </w:t>
      </w:r>
      <w:r w:rsidR="00442E0C">
        <w:t>determinant</w:t>
      </w:r>
      <w:r>
        <w:t>s include the extent and timing of load limits</w:t>
      </w:r>
      <w:r w:rsidR="004E7C39">
        <w:t xml:space="preserve"> to Infrastructure</w:t>
      </w:r>
      <w:r>
        <w:t>, the number of vehicles subject to load limits, the distance between the origin and destination for vehicle</w:t>
      </w:r>
      <w:r w:rsidR="004E7C39">
        <w:t>s</w:t>
      </w:r>
      <w:r>
        <w:t xml:space="preserve"> subject to load limi</w:t>
      </w:r>
      <w:r w:rsidR="004E7C39">
        <w:t xml:space="preserve">ts, and the </w:t>
      </w:r>
      <w:r w:rsidR="004E7C39">
        <w:lastRenderedPageBreak/>
        <w:t>length of the diversion route</w:t>
      </w:r>
      <w:r>
        <w:t xml:space="preserve"> required to </w:t>
      </w:r>
      <w:r w:rsidR="004E7C39">
        <w:t xml:space="preserve">avoid the load restricted infrastructure. These key </w:t>
      </w:r>
      <w:r w:rsidR="00442E0C">
        <w:t>determinant</w:t>
      </w:r>
      <w:r w:rsidR="004E7C39">
        <w:t>s should</w:t>
      </w:r>
      <w:r>
        <w:t xml:space="preserve"> be incorporated into an approach </w:t>
      </w:r>
      <w:r w:rsidR="004E7C39">
        <w:t xml:space="preserve">in order to adequately </w:t>
      </w:r>
      <w:r>
        <w:t xml:space="preserve">evaluate </w:t>
      </w:r>
      <w:r w:rsidR="004E7C39">
        <w:t xml:space="preserve">the costs and benefits of upgrading </w:t>
      </w:r>
      <w:r>
        <w:t xml:space="preserve">a </w:t>
      </w:r>
      <w:r w:rsidR="004E7C39">
        <w:t>rural bridge</w:t>
      </w:r>
      <w:r>
        <w:t xml:space="preserve">. </w:t>
      </w:r>
    </w:p>
    <w:p w:rsidR="00B922B7" w:rsidRDefault="002F0BE0" w:rsidP="00430E34">
      <w:pPr>
        <w:pStyle w:val="Text"/>
      </w:pPr>
      <w:r>
        <w:t xml:space="preserve">This paper has proposed three possible approaches to incorporate the identified </w:t>
      </w:r>
      <w:r w:rsidR="00442E0C">
        <w:t>determinant</w:t>
      </w:r>
      <w:r>
        <w:t xml:space="preserve">s of benefits. The approaches are ‘the diverting to avoid bridge’ approach, ‘use of smaller vehicles’ approach, and a combination of the first two approaches. The recommended use of approach depends on a number of factors. The most important factor is the expected behaviour of vehicle users. The behaviour of vehicle users is closely linked to the key </w:t>
      </w:r>
      <w:r w:rsidR="00442E0C">
        <w:t>determinant</w:t>
      </w:r>
      <w:r>
        <w:t>s of benefits. For example, if the distance between the origin and destination is long and a relatively short diversion route is available, vehicle users will most likely use t</w:t>
      </w:r>
      <w:r w:rsidR="00B85C5C">
        <w:t xml:space="preserve">he diversion route rather </w:t>
      </w:r>
      <w:r w:rsidR="00512814">
        <w:t xml:space="preserve">than </w:t>
      </w:r>
      <w:r w:rsidR="00B85C5C">
        <w:t>switch</w:t>
      </w:r>
      <w:r>
        <w:t xml:space="preserve"> to smaller vehicles. Availability of data and timeframes may also play a part in the selection of approach. The ‘use of smaller vehicle’ approach is the least data intensive and can be conducted quicker than the other two approaches. The ‘Banana Creek Upgrade’ case study demonstrated how the ‘use of smaller vehicle’ approach can be applied to a rapid analysis.</w:t>
      </w:r>
    </w:p>
    <w:p w:rsidR="002F0BE0" w:rsidRPr="003D4344" w:rsidRDefault="00430E34" w:rsidP="003D4344">
      <w:pPr>
        <w:pStyle w:val="Heading1"/>
      </w:pPr>
      <w:r>
        <w:t>Bibliography</w:t>
      </w:r>
    </w:p>
    <w:p w:rsidR="009D50A2" w:rsidRDefault="009D50A2" w:rsidP="002F0BE0">
      <w:pPr>
        <w:pStyle w:val="Text"/>
      </w:pPr>
      <w:r>
        <w:t xml:space="preserve">Arkatkar, S. S., and Arasan, V. T., (2010), Effect of gradient and its Length on Performances of Vehicles Under Heterogeneous Traffic Conditions, </w:t>
      </w:r>
      <w:r w:rsidRPr="009D50A2">
        <w:rPr>
          <w:i/>
        </w:rPr>
        <w:t>Journal of Transportation Engineering</w:t>
      </w:r>
      <w:r>
        <w:t xml:space="preserve">, </w:t>
      </w:r>
      <w:r w:rsidRPr="009D50A2">
        <w:rPr>
          <w:b/>
        </w:rPr>
        <w:t>136</w:t>
      </w:r>
      <w:r>
        <w:t>, (12), 1120-1136</w:t>
      </w:r>
    </w:p>
    <w:p w:rsidR="002F0BE0" w:rsidRPr="00CF6EF7" w:rsidRDefault="002F0BE0" w:rsidP="002F0BE0">
      <w:pPr>
        <w:pStyle w:val="Text"/>
      </w:pPr>
      <w:r w:rsidRPr="00CF6EF7">
        <w:t>Australian Transport Council (2006), National Guidelines for Transport S</w:t>
      </w:r>
      <w:r>
        <w:t>ystems Management in Australia, 5 Background Material</w:t>
      </w:r>
      <w:r w:rsidRPr="00CF6EF7">
        <w:t>, Commonwealth of Australia, Canberra</w:t>
      </w:r>
      <w:r w:rsidR="00F01A98">
        <w:t>.</w:t>
      </w:r>
    </w:p>
    <w:p w:rsidR="002F0BE0" w:rsidRPr="00CB1E21" w:rsidRDefault="002F0BE0" w:rsidP="002F0BE0">
      <w:pPr>
        <w:pStyle w:val="Text"/>
      </w:pPr>
      <w:r w:rsidRPr="00CB1E21">
        <w:t>Austroads (2005), Economic Evaluation of Road Investment Proposals: Harmonisation of Non-urban Road User Cost Models, Austroads, AP-R264/05</w:t>
      </w:r>
      <w:r w:rsidR="00F01A98">
        <w:t>.</w:t>
      </w:r>
    </w:p>
    <w:p w:rsidR="002F0BE0" w:rsidRDefault="002F0BE0" w:rsidP="002F0BE0">
      <w:pPr>
        <w:pStyle w:val="Text"/>
      </w:pPr>
      <w:r w:rsidRPr="00CB1E21">
        <w:t>Austroads (2012), Guide to Project Evaluation – Part 4: Project Evaluation Data (Updated Road User Effects Unit Values), Austroads</w:t>
      </w:r>
      <w:r w:rsidR="00F01A98">
        <w:t>.</w:t>
      </w:r>
    </w:p>
    <w:p w:rsidR="00F84A65" w:rsidRPr="00CB1E21" w:rsidRDefault="00F84A65" w:rsidP="002F0BE0">
      <w:pPr>
        <w:pStyle w:val="Text"/>
      </w:pPr>
      <w:r w:rsidRPr="00F84A65">
        <w:t>Australasian College of Road Safety</w:t>
      </w:r>
      <w:r>
        <w:t xml:space="preserve"> (2012), Rural and Remote Road Safety Fact Sheet,</w:t>
      </w:r>
      <w:r w:rsidRPr="00F84A65">
        <w:t xml:space="preserve"> Australasian College of Road Safety</w:t>
      </w:r>
      <w:r>
        <w:t>.</w:t>
      </w:r>
    </w:p>
    <w:p w:rsidR="002F0BE0" w:rsidRDefault="002F0BE0" w:rsidP="002F0BE0">
      <w:pPr>
        <w:pStyle w:val="Text"/>
      </w:pPr>
      <w:r w:rsidRPr="00CB1E21">
        <w:t>Department of Main Roads (2006), Annual Report 2005-2006 (Volume 1), Queensland Government</w:t>
      </w:r>
      <w:r w:rsidR="00F01A98">
        <w:t>.</w:t>
      </w:r>
    </w:p>
    <w:p w:rsidR="000D6112" w:rsidRDefault="000D6112" w:rsidP="002F0BE0">
      <w:pPr>
        <w:pStyle w:val="Text"/>
      </w:pPr>
      <w:r>
        <w:t>Department of Transport (2012), V13 Vehicle Dimensional Limits (Including Load), Northern Territory Government.</w:t>
      </w:r>
    </w:p>
    <w:p w:rsidR="002F0BE0" w:rsidRDefault="002F0BE0" w:rsidP="002F0BE0">
      <w:pPr>
        <w:pStyle w:val="Text"/>
      </w:pPr>
      <w:r>
        <w:lastRenderedPageBreak/>
        <w:t>Frangopol, D. M., Lin, K-Y., Estes, A. C., (1997), Life-Cycle Cost Design of Deteriorating Structures,</w:t>
      </w:r>
      <w:r w:rsidRPr="00F01A98">
        <w:rPr>
          <w:i/>
        </w:rPr>
        <w:t xml:space="preserve"> Journal of Structural Engineering</w:t>
      </w:r>
      <w:r>
        <w:t>, ASSCE, 123, (10), 286-297</w:t>
      </w:r>
      <w:r w:rsidR="00F01A98">
        <w:t>.</w:t>
      </w:r>
    </w:p>
    <w:p w:rsidR="002F0BE0" w:rsidRPr="00CB1E21" w:rsidRDefault="002F0BE0" w:rsidP="002F0BE0">
      <w:pPr>
        <w:pStyle w:val="Text"/>
      </w:pPr>
      <w:r>
        <w:t>Infrastructure Australia (2013), Submission to Infrastructure Australia – Templates for use by Proponents, Australian Government</w:t>
      </w:r>
      <w:r w:rsidR="00F01A98">
        <w:t>.</w:t>
      </w:r>
    </w:p>
    <w:p w:rsidR="002F0BE0" w:rsidRPr="00CB1E21" w:rsidRDefault="002F0BE0" w:rsidP="002F0BE0">
      <w:pPr>
        <w:pStyle w:val="Text"/>
      </w:pPr>
      <w:r w:rsidRPr="00CB1E21">
        <w:t>Transport and Main Roads (2014), Cost benefit Analysis Report – Jingi Jingi Creek Culvert Replacement, Queensland Government</w:t>
      </w:r>
      <w:r w:rsidR="00F01A98">
        <w:t xml:space="preserve"> (unpublished).</w:t>
      </w:r>
    </w:p>
    <w:p w:rsidR="002F0BE0" w:rsidRDefault="002F0BE0" w:rsidP="002F0BE0">
      <w:pPr>
        <w:pStyle w:val="Text"/>
      </w:pPr>
      <w:r w:rsidRPr="00CB1E21">
        <w:t xml:space="preserve">Transport and Main Roads (2011), Cost-benefit Analysis Manual: Road Projects, </w:t>
      </w:r>
      <w:r>
        <w:t>Queensland Government, Brisbane</w:t>
      </w:r>
      <w:r w:rsidR="00F01A98">
        <w:t>.</w:t>
      </w:r>
    </w:p>
    <w:p w:rsidR="00245784" w:rsidRDefault="00245784" w:rsidP="002F0BE0">
      <w:pPr>
        <w:pStyle w:val="Text"/>
      </w:pPr>
      <w:r>
        <w:t>Transport and Main Roads (2013), Guidelines for Multi-combination Vehicles, Queensland Government.</w:t>
      </w:r>
    </w:p>
    <w:p w:rsidR="002F0BE0" w:rsidRDefault="002F0BE0" w:rsidP="002F0BE0">
      <w:pPr>
        <w:pStyle w:val="Text"/>
      </w:pPr>
      <w:r>
        <w:t>Transport and Main Roads (2013), Regional Bridge Renewal Program Spreadsheet, Queensland Government</w:t>
      </w:r>
      <w:r w:rsidR="00F01A98">
        <w:t xml:space="preserve"> (unpublished).</w:t>
      </w:r>
    </w:p>
    <w:p w:rsidR="00B47A9C" w:rsidRDefault="002F0BE0" w:rsidP="002F0BE0">
      <w:pPr>
        <w:pStyle w:val="Text"/>
      </w:pPr>
      <w:r w:rsidRPr="00F71120">
        <w:t xml:space="preserve">Transport and Main Roads (2007), Comparison of Queensland Heavy Freight Vehicles, </w:t>
      </w:r>
      <w:r>
        <w:t>Queensland Government</w:t>
      </w:r>
      <w:r w:rsidR="00F01A98">
        <w:t>.</w:t>
      </w:r>
    </w:p>
    <w:p w:rsidR="00B922B7" w:rsidRDefault="00B922B7"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227184" w:rsidRDefault="00227184"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B922B7" w:rsidRDefault="00B922B7" w:rsidP="002F0BE0">
      <w:pPr>
        <w:pStyle w:val="Text"/>
      </w:pPr>
    </w:p>
    <w:p w:rsidR="002F0BE0" w:rsidRPr="00CB1E21" w:rsidRDefault="00B47A9C" w:rsidP="00B47A9C">
      <w:pPr>
        <w:pStyle w:val="Heading1"/>
      </w:pPr>
      <w:r>
        <w:lastRenderedPageBreak/>
        <w:t>Appendix</w:t>
      </w:r>
    </w:p>
    <w:p w:rsidR="002F0BE0" w:rsidRDefault="002F0BE0" w:rsidP="002F0BE0">
      <w:r>
        <w:rPr>
          <w:noProof/>
          <w:highlight w:val="red"/>
          <w:lang w:val="en-AU" w:eastAsia="en-AU"/>
        </w:rPr>
        <w:drawing>
          <wp:inline distT="0" distB="0" distL="0" distR="0" wp14:anchorId="1D762A19" wp14:editId="5939C8A3">
            <wp:extent cx="5191125" cy="81260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765" cy="8128663"/>
                    </a:xfrm>
                    <a:prstGeom prst="rect">
                      <a:avLst/>
                    </a:prstGeom>
                    <a:noFill/>
                    <a:ln>
                      <a:noFill/>
                    </a:ln>
                  </pic:spPr>
                </pic:pic>
              </a:graphicData>
            </a:graphic>
          </wp:inline>
        </w:drawing>
      </w:r>
    </w:p>
    <w:p w:rsidR="00B47A9C" w:rsidRPr="00E52936" w:rsidRDefault="00B47A9C" w:rsidP="00B47A9C">
      <w:pPr>
        <w:rPr>
          <w:b/>
          <w:sz w:val="24"/>
        </w:rPr>
      </w:pPr>
      <w:r>
        <w:rPr>
          <w:b/>
          <w:sz w:val="24"/>
        </w:rPr>
        <w:t>Figure 4</w:t>
      </w:r>
      <w:r w:rsidRPr="00E52936">
        <w:rPr>
          <w:b/>
          <w:sz w:val="24"/>
        </w:rPr>
        <w:t xml:space="preserve">: </w:t>
      </w:r>
      <w:r>
        <w:rPr>
          <w:b/>
          <w:sz w:val="24"/>
        </w:rPr>
        <w:t>Map of Jingi Jingi Creek Upgrade and Surrounding Area</w:t>
      </w:r>
    </w:p>
    <w:p w:rsidR="00B47A9C" w:rsidRDefault="00B47A9C" w:rsidP="002F0BE0"/>
    <w:p w:rsidR="002F0BE0" w:rsidRDefault="002F0BE0" w:rsidP="002F0BE0">
      <w:r>
        <w:rPr>
          <w:noProof/>
          <w:lang w:val="en-AU" w:eastAsia="en-AU"/>
        </w:rPr>
        <w:lastRenderedPageBreak/>
        <w:drawing>
          <wp:inline distT="0" distB="0" distL="0" distR="0" wp14:anchorId="18D300F7" wp14:editId="71D8BED9">
            <wp:extent cx="5763895" cy="3723005"/>
            <wp:effectExtent l="0" t="0" r="8255" b="0"/>
            <wp:docPr id="55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 name="Picture 2"/>
                    <pic:cNvPicPr>
                      <a:picLocks noChangeAspect="1" noChangeArrowheads="1"/>
                    </pic:cNvPicPr>
                  </pic:nvPicPr>
                  <pic:blipFill>
                    <a:blip r:embed="rId11" cstate="print"/>
                    <a:srcRect/>
                    <a:stretch>
                      <a:fillRect/>
                    </a:stretch>
                  </pic:blipFill>
                  <pic:spPr bwMode="auto">
                    <a:xfrm>
                      <a:off x="0" y="0"/>
                      <a:ext cx="5763895" cy="3723005"/>
                    </a:xfrm>
                    <a:prstGeom prst="rect">
                      <a:avLst/>
                    </a:prstGeom>
                    <a:noFill/>
                    <a:ln w="9525">
                      <a:noFill/>
                      <a:miter lim="800000"/>
                      <a:headEnd/>
                      <a:tailEnd/>
                    </a:ln>
                  </pic:spPr>
                </pic:pic>
              </a:graphicData>
            </a:graphic>
          </wp:inline>
        </w:drawing>
      </w:r>
    </w:p>
    <w:p w:rsidR="00C2679F" w:rsidRDefault="00C2679F" w:rsidP="002F0BE0"/>
    <w:p w:rsidR="00B47A9C" w:rsidRPr="00E52936" w:rsidRDefault="00B47A9C" w:rsidP="00B47A9C">
      <w:pPr>
        <w:rPr>
          <w:b/>
          <w:sz w:val="24"/>
        </w:rPr>
      </w:pPr>
      <w:r>
        <w:rPr>
          <w:b/>
          <w:sz w:val="24"/>
        </w:rPr>
        <w:t>Figure 5</w:t>
      </w:r>
      <w:r w:rsidRPr="00E52936">
        <w:rPr>
          <w:b/>
          <w:sz w:val="24"/>
        </w:rPr>
        <w:t xml:space="preserve">: </w:t>
      </w:r>
      <w:r>
        <w:rPr>
          <w:b/>
          <w:sz w:val="24"/>
        </w:rPr>
        <w:t>Map of Banana Creek Upgrade and Surrounding Area</w:t>
      </w:r>
    </w:p>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2F0BE0"/>
    <w:p w:rsidR="00B47A9C" w:rsidRDefault="00B47A9C" w:rsidP="00B47A9C">
      <w:pPr>
        <w:pStyle w:val="Heading1"/>
      </w:pPr>
      <w:r>
        <w:lastRenderedPageBreak/>
        <w:t>Notes</w:t>
      </w:r>
    </w:p>
    <w:p w:rsidR="00B47A9C" w:rsidRDefault="00B47A9C" w:rsidP="00B47A9C">
      <w:pPr>
        <w:pStyle w:val="Text"/>
      </w:pPr>
      <w:r w:rsidRPr="00EA4295">
        <w:rPr>
          <w:sz w:val="18"/>
          <w:szCs w:val="18"/>
          <w:vertAlign w:val="superscript"/>
        </w:rPr>
        <w:t xml:space="preserve">1 </w:t>
      </w:r>
      <w:r w:rsidRPr="002C47DC">
        <w:t>Road user costs are the costs of operating vehicles on roads, they also include travel time costs and may also include crash costs</w:t>
      </w:r>
      <w:r>
        <w:t xml:space="preserve"> (TMR 2011)</w:t>
      </w:r>
      <w:r w:rsidRPr="002C47DC">
        <w:t>.</w:t>
      </w:r>
    </w:p>
    <w:p w:rsidR="00B47A9C" w:rsidRDefault="00B47A9C" w:rsidP="00B47A9C">
      <w:pPr>
        <w:pStyle w:val="Text"/>
      </w:pPr>
      <w:r w:rsidRPr="00EA4295">
        <w:rPr>
          <w:sz w:val="18"/>
          <w:szCs w:val="18"/>
          <w:vertAlign w:val="superscript"/>
        </w:rPr>
        <w:t xml:space="preserve">2 </w:t>
      </w:r>
      <w:r w:rsidRPr="00CF6EF7">
        <w:t>The ‘base case’ is the state of the world in the absence of the initiative being implemented (ATC, 2006).</w:t>
      </w:r>
    </w:p>
    <w:p w:rsidR="00B47A9C" w:rsidRDefault="00B47A9C" w:rsidP="00B47A9C">
      <w:pPr>
        <w:pStyle w:val="Text"/>
      </w:pPr>
      <w:r w:rsidRPr="00EA4295">
        <w:rPr>
          <w:sz w:val="18"/>
          <w:szCs w:val="18"/>
          <w:vertAlign w:val="superscript"/>
        </w:rPr>
        <w:t xml:space="preserve">3 </w:t>
      </w:r>
      <w:r w:rsidRPr="002C47DC">
        <w:t>The route taken by vehicles when the bridge is not load limited is referred to as the ‘original route’</w:t>
      </w:r>
      <w:r>
        <w:t>.</w:t>
      </w:r>
    </w:p>
    <w:p w:rsidR="000F1A08" w:rsidRPr="00436D95" w:rsidRDefault="000F1A08" w:rsidP="00B47A9C">
      <w:pPr>
        <w:pStyle w:val="Text"/>
      </w:pPr>
      <w:r w:rsidRPr="00EA4295">
        <w:rPr>
          <w:sz w:val="18"/>
          <w:szCs w:val="18"/>
          <w:vertAlign w:val="superscript"/>
        </w:rPr>
        <w:t xml:space="preserve">4 </w:t>
      </w:r>
      <w:r w:rsidR="006A204D">
        <w:t>This section length is WX for heavy vehicles travelling between A and B and YZ for heavy vehicles travelling between A and C.</w:t>
      </w:r>
    </w:p>
    <w:p w:rsidR="00B47A9C" w:rsidRDefault="006A204D" w:rsidP="00B47A9C">
      <w:pPr>
        <w:pStyle w:val="Text"/>
      </w:pPr>
      <w:r>
        <w:rPr>
          <w:sz w:val="18"/>
          <w:szCs w:val="18"/>
          <w:vertAlign w:val="superscript"/>
        </w:rPr>
        <w:t>5</w:t>
      </w:r>
      <w:r w:rsidR="00B47A9C" w:rsidRPr="00EA4295">
        <w:rPr>
          <w:sz w:val="18"/>
          <w:szCs w:val="18"/>
          <w:vertAlign w:val="superscript"/>
        </w:rPr>
        <w:t xml:space="preserve"> </w:t>
      </w:r>
      <w:r w:rsidR="00B47A9C" w:rsidRPr="00623DC4">
        <w:t xml:space="preserve">Unit values applied to externalities could vary from route to route depending if the routes pass through any towns. Unit values for air and water pollution as well as noise pollution are higher in towns </w:t>
      </w:r>
      <w:r w:rsidR="00B47A9C">
        <w:t>(Austroa</w:t>
      </w:r>
      <w:r w:rsidR="00B47A9C" w:rsidRPr="00623DC4">
        <w:t>ds 2012).</w:t>
      </w:r>
    </w:p>
    <w:p w:rsidR="00CC2A23" w:rsidRDefault="00CC2A23" w:rsidP="00B47A9C">
      <w:pPr>
        <w:pStyle w:val="Text"/>
      </w:pPr>
      <w:r>
        <w:rPr>
          <w:sz w:val="18"/>
          <w:szCs w:val="18"/>
          <w:vertAlign w:val="superscript"/>
        </w:rPr>
        <w:t>6</w:t>
      </w:r>
      <w:r w:rsidRPr="00D572FC">
        <w:t xml:space="preserve"> </w:t>
      </w:r>
      <w:r>
        <w:t>B-doubles are equivalent to 1.55 articulated vehicles, type 1 road trains are equivalent to 2 articulated vehicles and type 2 road trains are equivalent to 3 articulated vehicles (TMR 20</w:t>
      </w:r>
      <w:r w:rsidR="008D42BA">
        <w:t>07</w:t>
      </w:r>
      <w:r>
        <w:t>).</w:t>
      </w:r>
    </w:p>
    <w:p w:rsidR="00D572FC" w:rsidRDefault="00CC2A23" w:rsidP="00B47A9C">
      <w:pPr>
        <w:pStyle w:val="Text"/>
      </w:pPr>
      <w:r>
        <w:rPr>
          <w:sz w:val="18"/>
          <w:szCs w:val="18"/>
          <w:vertAlign w:val="superscript"/>
        </w:rPr>
        <w:t>7</w:t>
      </w:r>
      <w:r w:rsidR="00D572FC" w:rsidRPr="00D572FC">
        <w:t xml:space="preserve"> </w:t>
      </w:r>
      <w:r w:rsidR="00E2497A">
        <w:t xml:space="preserve">A </w:t>
      </w:r>
      <w:r w:rsidR="00D572FC">
        <w:t xml:space="preserve">Type 1 road train </w:t>
      </w:r>
      <w:r w:rsidR="00245784">
        <w:t xml:space="preserve">is a combination vehicle using a prime mover hauling unit towing two trailers when the combination length is no longer than 36.5m (TMR 2013). </w:t>
      </w:r>
      <w:r w:rsidR="000D6112">
        <w:t>A typical</w:t>
      </w:r>
      <w:r w:rsidR="00B922B7">
        <w:t xml:space="preserve"> 6 axle</w:t>
      </w:r>
      <w:r w:rsidR="00E2497A">
        <w:t xml:space="preserve"> a</w:t>
      </w:r>
      <w:r w:rsidR="00245784">
        <w:t>rticulated vehicle</w:t>
      </w:r>
      <w:r w:rsidR="00E2497A">
        <w:t xml:space="preserve"> is a prime mover hauling unit towing one trailer when the combination length is no longer than 19m</w:t>
      </w:r>
      <w:r w:rsidR="000D6112">
        <w:t xml:space="preserve"> (Department of Transport 2012).</w:t>
      </w:r>
      <w:r w:rsidR="00E2497A">
        <w:t xml:space="preserve"> </w:t>
      </w:r>
      <w:r w:rsidR="00245784">
        <w:t xml:space="preserve"> </w:t>
      </w:r>
    </w:p>
    <w:p w:rsidR="00B47A9C" w:rsidRDefault="00CC2A23" w:rsidP="00B47A9C">
      <w:pPr>
        <w:pStyle w:val="Text"/>
      </w:pPr>
      <w:r>
        <w:rPr>
          <w:sz w:val="18"/>
          <w:szCs w:val="18"/>
          <w:vertAlign w:val="superscript"/>
        </w:rPr>
        <w:t>8</w:t>
      </w:r>
      <w:r w:rsidR="00B47A9C" w:rsidRPr="00EA4295">
        <w:rPr>
          <w:sz w:val="18"/>
          <w:szCs w:val="18"/>
          <w:vertAlign w:val="superscript"/>
        </w:rPr>
        <w:t xml:space="preserve"> </w:t>
      </w:r>
      <w:r w:rsidR="00B47A9C" w:rsidRPr="004D592E">
        <w:t>The 4% and 7% discount rates are required by the Australian Commonwealth Government and the 6% discount rate is required by the Queensland State Government.</w:t>
      </w:r>
    </w:p>
    <w:p w:rsidR="00B47A9C" w:rsidRDefault="00CC2A23" w:rsidP="00B47A9C">
      <w:pPr>
        <w:pStyle w:val="Text"/>
      </w:pPr>
      <w:r>
        <w:rPr>
          <w:sz w:val="18"/>
          <w:szCs w:val="18"/>
          <w:vertAlign w:val="superscript"/>
        </w:rPr>
        <w:t>9</w:t>
      </w:r>
      <w:r w:rsidR="00B47A9C" w:rsidRPr="00EA4295">
        <w:rPr>
          <w:sz w:val="18"/>
          <w:szCs w:val="18"/>
          <w:vertAlign w:val="superscript"/>
        </w:rPr>
        <w:t xml:space="preserve"> </w:t>
      </w:r>
      <w:r w:rsidR="00B47A9C" w:rsidRPr="00BE46D8">
        <w:t>The residual value has been deducted from the costs of the project.</w:t>
      </w:r>
    </w:p>
    <w:p w:rsidR="00B47A9C" w:rsidRDefault="00CC2A23" w:rsidP="00B47A9C">
      <w:pPr>
        <w:pStyle w:val="Text"/>
      </w:pPr>
      <w:r>
        <w:rPr>
          <w:sz w:val="18"/>
          <w:szCs w:val="18"/>
          <w:vertAlign w:val="superscript"/>
        </w:rPr>
        <w:t>10</w:t>
      </w:r>
      <w:r w:rsidR="00B47A9C" w:rsidRPr="00EA4295">
        <w:rPr>
          <w:sz w:val="18"/>
          <w:szCs w:val="18"/>
          <w:vertAlign w:val="superscript"/>
        </w:rPr>
        <w:t xml:space="preserve"> </w:t>
      </w:r>
      <w:r w:rsidR="00B47A9C" w:rsidRPr="00F846C0">
        <w:t>6km can be considered a conservative figure and does not reflected many of the long distance trips taken from Western Queensland to the Ports on the coast.</w:t>
      </w:r>
    </w:p>
    <w:p w:rsidR="00732FA1" w:rsidRDefault="00CC2A23" w:rsidP="00B47A9C">
      <w:pPr>
        <w:pStyle w:val="Text"/>
      </w:pPr>
      <w:r>
        <w:rPr>
          <w:sz w:val="18"/>
          <w:szCs w:val="18"/>
          <w:vertAlign w:val="superscript"/>
        </w:rPr>
        <w:t>11</w:t>
      </w:r>
      <w:r w:rsidR="00732FA1" w:rsidRPr="00EA4295">
        <w:rPr>
          <w:sz w:val="18"/>
          <w:szCs w:val="18"/>
          <w:vertAlign w:val="superscript"/>
        </w:rPr>
        <w:t xml:space="preserve"> </w:t>
      </w:r>
      <w:r w:rsidR="00732FA1">
        <w:t>B-double is a combination consisting of a prime mover towing 2 semitrailers, with 1 semi-trailer supported at the front by, and connect</w:t>
      </w:r>
      <w:r w:rsidR="006B31FB">
        <w:t>e</w:t>
      </w:r>
      <w:r w:rsidR="00732FA1">
        <w:t>d</w:t>
      </w:r>
      <w:r w:rsidR="006B31FB">
        <w:t xml:space="preserve"> to, the other semitrailer (TMR 2013).</w:t>
      </w:r>
    </w:p>
    <w:p w:rsidR="00B47A9C" w:rsidRPr="002F0BE0" w:rsidRDefault="00CC2A23" w:rsidP="00CC2A23">
      <w:pPr>
        <w:pStyle w:val="Text"/>
      </w:pPr>
      <w:r>
        <w:rPr>
          <w:sz w:val="18"/>
          <w:szCs w:val="18"/>
          <w:vertAlign w:val="superscript"/>
        </w:rPr>
        <w:t>12</w:t>
      </w:r>
      <w:r w:rsidR="00B47A9C" w:rsidRPr="00EA4295">
        <w:rPr>
          <w:sz w:val="18"/>
          <w:szCs w:val="18"/>
          <w:vertAlign w:val="superscript"/>
        </w:rPr>
        <w:t xml:space="preserve"> </w:t>
      </w:r>
      <w:r w:rsidR="00B47A9C" w:rsidRPr="00CF6EF7">
        <w:t>The ‘project case’ is the state of the world with the initiative being implemented (ATC 2006).</w:t>
      </w:r>
    </w:p>
    <w:sectPr w:rsidR="00B47A9C" w:rsidRPr="002F0BE0" w:rsidSect="002F0BE0">
      <w:headerReference w:type="default" r:id="rId12"/>
      <w:footerReference w:type="default" r:id="rId13"/>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FEB" w:rsidRDefault="000D3FEB" w:rsidP="005A55EB">
      <w:r>
        <w:separator/>
      </w:r>
    </w:p>
  </w:endnote>
  <w:endnote w:type="continuationSeparator" w:id="0">
    <w:p w:rsidR="000D3FEB" w:rsidRDefault="000D3FEB" w:rsidP="005A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0C0" w:rsidRPr="005A55EB" w:rsidRDefault="002530C0" w:rsidP="005A55EB">
    <w:pPr>
      <w:pStyle w:val="copyright"/>
    </w:pPr>
    <w:r>
      <w:t>© AET 2014</w:t>
    </w:r>
    <w:r w:rsidRPr="005A55EB">
      <w:t xml:space="preserve"> and contributors</w:t>
    </w:r>
  </w:p>
  <w:p w:rsidR="002530C0" w:rsidRPr="005A55EB" w:rsidRDefault="002530C0" w:rsidP="005A55EB">
    <w:pPr>
      <w:pStyle w:val="PageNumber1"/>
    </w:pPr>
    <w:r w:rsidRPr="005A55EB">
      <w:fldChar w:fldCharType="begin"/>
    </w:r>
    <w:r w:rsidRPr="005A55EB">
      <w:instrText xml:space="preserve"> PAGE   \* MERGEFORMAT </w:instrText>
    </w:r>
    <w:r w:rsidRPr="005A55EB">
      <w:fldChar w:fldCharType="separate"/>
    </w:r>
    <w:r w:rsidR="00A26A55">
      <w:rPr>
        <w:noProof/>
      </w:rPr>
      <w:t>1</w:t>
    </w:r>
    <w:r w:rsidRPr="005A55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FEB" w:rsidRDefault="000D3FEB" w:rsidP="005A55EB">
      <w:r>
        <w:separator/>
      </w:r>
    </w:p>
  </w:footnote>
  <w:footnote w:type="continuationSeparator" w:id="0">
    <w:p w:rsidR="000D3FEB" w:rsidRDefault="000D3FEB" w:rsidP="005A5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0C0" w:rsidRDefault="002530C0">
    <w:pPr>
      <w:pStyle w:val="Header"/>
    </w:pPr>
    <w:r>
      <w:rPr>
        <w:noProof/>
        <w:lang w:val="en-AU" w:eastAsia="en-AU"/>
      </w:rPr>
      <w:drawing>
        <wp:anchor distT="0" distB="0" distL="114300" distR="114300" simplePos="0" relativeHeight="251660288" behindDoc="0" locked="0" layoutInCell="1" allowOverlap="1" wp14:anchorId="66259D58" wp14:editId="4C12150E">
          <wp:simplePos x="0" y="0"/>
          <wp:positionH relativeFrom="column">
            <wp:posOffset>3736076</wp:posOffset>
          </wp:positionH>
          <wp:positionV relativeFrom="paragraph">
            <wp:posOffset>-272415</wp:posOffset>
          </wp:positionV>
          <wp:extent cx="1509622" cy="5736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C2014-logo.jpg"/>
                  <pic:cNvPicPr/>
                </pic:nvPicPr>
                <pic:blipFill>
                  <a:blip r:embed="rId1">
                    <a:extLst>
                      <a:ext uri="{28A0092B-C50C-407E-A947-70E740481C1C}">
                        <a14:useLocalDpi xmlns:a14="http://schemas.microsoft.com/office/drawing/2010/main" val="0"/>
                      </a:ext>
                    </a:extLst>
                  </a:blip>
                  <a:stretch>
                    <a:fillRect/>
                  </a:stretch>
                </pic:blipFill>
                <pic:spPr>
                  <a:xfrm>
                    <a:off x="0" y="0"/>
                    <a:ext cx="1509622" cy="573657"/>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0" locked="0" layoutInCell="1" allowOverlap="1" wp14:anchorId="6CBE9CFD" wp14:editId="67998D1E">
          <wp:simplePos x="0" y="0"/>
          <wp:positionH relativeFrom="column">
            <wp:posOffset>1905</wp:posOffset>
          </wp:positionH>
          <wp:positionV relativeFrom="paragraph">
            <wp:posOffset>-311670</wp:posOffset>
          </wp:positionV>
          <wp:extent cx="505691" cy="63644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tLogoCurrent.gif"/>
                  <pic:cNvPicPr/>
                </pic:nvPicPr>
                <pic:blipFill rotWithShape="1">
                  <a:blip r:embed="rId2" cstate="print">
                    <a:extLst>
                      <a:ext uri="{28A0092B-C50C-407E-A947-70E740481C1C}">
                        <a14:useLocalDpi xmlns:a14="http://schemas.microsoft.com/office/drawing/2010/main"/>
                      </a:ext>
                    </a:extLst>
                  </a:blip>
                  <a:srcRect t="17136"/>
                  <a:stretch/>
                </pic:blipFill>
                <pic:spPr bwMode="auto">
                  <a:xfrm>
                    <a:off x="0" y="0"/>
                    <a:ext cx="505460" cy="636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10805"/>
    <w:multiLevelType w:val="hybridMultilevel"/>
    <w:tmpl w:val="99863D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686166C"/>
    <w:multiLevelType w:val="multilevel"/>
    <w:tmpl w:val="F1AC0C7A"/>
    <w:lvl w:ilvl="0">
      <w:start w:val="1"/>
      <w:numFmt w:val="decimal"/>
      <w:lvlText w:val="%1."/>
      <w:legacy w:legacy="1" w:legacySpace="0" w:legacyIndent="283"/>
      <w:lvlJc w:val="left"/>
      <w:pPr>
        <w:ind w:left="283" w:hanging="283"/>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F1746A5"/>
    <w:multiLevelType w:val="hybridMultilevel"/>
    <w:tmpl w:val="C8FC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2C1B35"/>
    <w:multiLevelType w:val="hybridMultilevel"/>
    <w:tmpl w:val="C96E3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E7042F"/>
    <w:multiLevelType w:val="multilevel"/>
    <w:tmpl w:val="E2186E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055BED"/>
    <w:multiLevelType w:val="hybridMultilevel"/>
    <w:tmpl w:val="B59CA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15B70D1"/>
    <w:multiLevelType w:val="hybridMultilevel"/>
    <w:tmpl w:val="61EAE6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43DB79C7"/>
    <w:multiLevelType w:val="hybridMultilevel"/>
    <w:tmpl w:val="0E72812E"/>
    <w:lvl w:ilvl="0" w:tplc="596AAD86">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4BEE201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203052"/>
    <w:multiLevelType w:val="hybridMultilevel"/>
    <w:tmpl w:val="CE982DD6"/>
    <w:lvl w:ilvl="0" w:tplc="7D386C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0376B93"/>
    <w:multiLevelType w:val="hybridMultilevel"/>
    <w:tmpl w:val="55BEA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A0047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6"/>
  </w:num>
  <w:num w:numId="3">
    <w:abstractNumId w:val="9"/>
  </w:num>
  <w:num w:numId="4">
    <w:abstractNumId w:val="11"/>
  </w:num>
  <w:num w:numId="5">
    <w:abstractNumId w:val="5"/>
  </w:num>
  <w:num w:numId="6">
    <w:abstractNumId w:val="0"/>
  </w:num>
  <w:num w:numId="7">
    <w:abstractNumId w:val="4"/>
  </w:num>
  <w:num w:numId="8">
    <w:abstractNumId w:val="2"/>
  </w:num>
  <w:num w:numId="9">
    <w:abstractNumId w:val="7"/>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9F"/>
    <w:rsid w:val="0000450A"/>
    <w:rsid w:val="0005664A"/>
    <w:rsid w:val="00066D90"/>
    <w:rsid w:val="000D3FEB"/>
    <w:rsid w:val="000D6112"/>
    <w:rsid w:val="000F1A08"/>
    <w:rsid w:val="001265A9"/>
    <w:rsid w:val="00127D77"/>
    <w:rsid w:val="001B63DC"/>
    <w:rsid w:val="00227184"/>
    <w:rsid w:val="00245784"/>
    <w:rsid w:val="002530C0"/>
    <w:rsid w:val="002715B6"/>
    <w:rsid w:val="002834F9"/>
    <w:rsid w:val="002B7E7C"/>
    <w:rsid w:val="002D154B"/>
    <w:rsid w:val="002F0BE0"/>
    <w:rsid w:val="003321EA"/>
    <w:rsid w:val="003331CD"/>
    <w:rsid w:val="00383900"/>
    <w:rsid w:val="003D4344"/>
    <w:rsid w:val="00407F43"/>
    <w:rsid w:val="00413A55"/>
    <w:rsid w:val="0042441E"/>
    <w:rsid w:val="00430E34"/>
    <w:rsid w:val="004348E2"/>
    <w:rsid w:val="00436D95"/>
    <w:rsid w:val="00442E0C"/>
    <w:rsid w:val="004E7C39"/>
    <w:rsid w:val="00512814"/>
    <w:rsid w:val="00527096"/>
    <w:rsid w:val="005355D0"/>
    <w:rsid w:val="00586194"/>
    <w:rsid w:val="005A55EB"/>
    <w:rsid w:val="005C3C85"/>
    <w:rsid w:val="00677408"/>
    <w:rsid w:val="0068012F"/>
    <w:rsid w:val="0069720D"/>
    <w:rsid w:val="006A204D"/>
    <w:rsid w:val="006B31FB"/>
    <w:rsid w:val="00707506"/>
    <w:rsid w:val="00732FA1"/>
    <w:rsid w:val="00767916"/>
    <w:rsid w:val="00783633"/>
    <w:rsid w:val="007E1BC7"/>
    <w:rsid w:val="008046D5"/>
    <w:rsid w:val="008B2A9B"/>
    <w:rsid w:val="008D42BA"/>
    <w:rsid w:val="009225CA"/>
    <w:rsid w:val="00941249"/>
    <w:rsid w:val="00942A63"/>
    <w:rsid w:val="009559C1"/>
    <w:rsid w:val="0098600A"/>
    <w:rsid w:val="009D50A2"/>
    <w:rsid w:val="00A12A32"/>
    <w:rsid w:val="00A26A55"/>
    <w:rsid w:val="00A75A7E"/>
    <w:rsid w:val="00A91199"/>
    <w:rsid w:val="00B36210"/>
    <w:rsid w:val="00B40089"/>
    <w:rsid w:val="00B47A9C"/>
    <w:rsid w:val="00B85C5C"/>
    <w:rsid w:val="00B922B7"/>
    <w:rsid w:val="00BA6DD1"/>
    <w:rsid w:val="00BD210B"/>
    <w:rsid w:val="00BF0091"/>
    <w:rsid w:val="00C2679F"/>
    <w:rsid w:val="00C874EF"/>
    <w:rsid w:val="00CB62F3"/>
    <w:rsid w:val="00CC2A23"/>
    <w:rsid w:val="00D55F63"/>
    <w:rsid w:val="00D572FC"/>
    <w:rsid w:val="00DB530F"/>
    <w:rsid w:val="00DF305E"/>
    <w:rsid w:val="00E2497A"/>
    <w:rsid w:val="00E56E59"/>
    <w:rsid w:val="00E80BEE"/>
    <w:rsid w:val="00E95598"/>
    <w:rsid w:val="00EA4295"/>
    <w:rsid w:val="00ED38AB"/>
    <w:rsid w:val="00EF3EBB"/>
    <w:rsid w:val="00F00A8D"/>
    <w:rsid w:val="00F01A98"/>
    <w:rsid w:val="00F84A65"/>
    <w:rsid w:val="00F96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F2FC8A-AAFB-481D-8837-8B6B26400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79F"/>
    <w:pPr>
      <w:spacing w:after="0" w:line="240" w:lineRule="auto"/>
    </w:pPr>
    <w:rPr>
      <w:rFonts w:ascii="Arial" w:eastAsia="Times New Roman" w:hAnsi="Arial" w:cs="Arial"/>
      <w:sz w:val="20"/>
      <w:szCs w:val="24"/>
    </w:rPr>
  </w:style>
  <w:style w:type="paragraph" w:styleId="Heading1">
    <w:name w:val="heading 1"/>
    <w:basedOn w:val="Normal"/>
    <w:next w:val="Normal"/>
    <w:link w:val="Heading1Char"/>
    <w:uiPriority w:val="9"/>
    <w:qFormat/>
    <w:rsid w:val="0068012F"/>
    <w:pPr>
      <w:spacing w:before="240" w:after="240"/>
      <w:jc w:val="both"/>
      <w:outlineLvl w:val="0"/>
    </w:pPr>
    <w:rPr>
      <w:b/>
      <w:caps/>
      <w:sz w:val="24"/>
    </w:rPr>
  </w:style>
  <w:style w:type="paragraph" w:styleId="Heading2">
    <w:name w:val="heading 2"/>
    <w:basedOn w:val="Heading1"/>
    <w:next w:val="Normal"/>
    <w:link w:val="Heading2Char"/>
    <w:uiPriority w:val="9"/>
    <w:unhideWhenUsed/>
    <w:qFormat/>
    <w:rsid w:val="0068012F"/>
    <w:pPr>
      <w:outlineLvl w:val="1"/>
    </w:pPr>
    <w:rPr>
      <w:caps w:val="0"/>
    </w:rPr>
  </w:style>
  <w:style w:type="paragraph" w:styleId="Heading3">
    <w:name w:val="heading 3"/>
    <w:basedOn w:val="Normal"/>
    <w:next w:val="Normal"/>
    <w:link w:val="Heading3Char"/>
    <w:uiPriority w:val="9"/>
    <w:semiHidden/>
    <w:unhideWhenUsed/>
    <w:qFormat/>
    <w:rsid w:val="002F0BE0"/>
    <w:pPr>
      <w:keepNext/>
      <w:keepLines/>
      <w:spacing w:before="40" w:line="259" w:lineRule="auto"/>
      <w:outlineLvl w:val="2"/>
    </w:pPr>
    <w:rPr>
      <w:rFonts w:asciiTheme="majorHAnsi" w:eastAsiaTheme="majorEastAsia" w:hAnsiTheme="majorHAnsi" w:cstheme="majorBidi"/>
      <w:color w:val="243F60" w:themeColor="accent1" w:themeShade="7F"/>
      <w:kern w:val="20"/>
      <w:sz w:val="24"/>
      <w:lang w:val="en-AU"/>
    </w:rPr>
  </w:style>
  <w:style w:type="paragraph" w:styleId="Heading4">
    <w:name w:val="heading 4"/>
    <w:basedOn w:val="Normal"/>
    <w:next w:val="Normal"/>
    <w:link w:val="Heading4Char"/>
    <w:uiPriority w:val="9"/>
    <w:semiHidden/>
    <w:unhideWhenUsed/>
    <w:qFormat/>
    <w:rsid w:val="002F0BE0"/>
    <w:pPr>
      <w:keepNext/>
      <w:keepLines/>
      <w:spacing w:before="40" w:line="259" w:lineRule="auto"/>
      <w:outlineLvl w:val="3"/>
    </w:pPr>
    <w:rPr>
      <w:rFonts w:asciiTheme="majorHAnsi" w:eastAsiaTheme="majorEastAsia" w:hAnsiTheme="majorHAnsi" w:cstheme="majorBidi"/>
      <w:i/>
      <w:iCs/>
      <w:color w:val="365F91" w:themeColor="accent1" w:themeShade="BF"/>
      <w:kern w:val="20"/>
      <w:szCs w:val="20"/>
      <w:lang w:val="en-AU"/>
    </w:rPr>
  </w:style>
  <w:style w:type="paragraph" w:styleId="Heading5">
    <w:name w:val="heading 5"/>
    <w:basedOn w:val="Normal"/>
    <w:next w:val="Normal"/>
    <w:link w:val="Heading5Char"/>
    <w:uiPriority w:val="9"/>
    <w:semiHidden/>
    <w:unhideWhenUsed/>
    <w:qFormat/>
    <w:rsid w:val="002F0BE0"/>
    <w:pPr>
      <w:keepNext/>
      <w:keepLines/>
      <w:spacing w:before="40" w:line="259" w:lineRule="auto"/>
      <w:outlineLvl w:val="4"/>
    </w:pPr>
    <w:rPr>
      <w:rFonts w:asciiTheme="majorHAnsi" w:eastAsiaTheme="majorEastAsia" w:hAnsiTheme="majorHAnsi" w:cstheme="majorBidi"/>
      <w:color w:val="365F91" w:themeColor="accent1" w:themeShade="BF"/>
      <w:kern w:val="20"/>
      <w:szCs w:val="20"/>
      <w:lang w:val="en-AU"/>
    </w:rPr>
  </w:style>
  <w:style w:type="paragraph" w:styleId="Heading6">
    <w:name w:val="heading 6"/>
    <w:basedOn w:val="Normal"/>
    <w:next w:val="Normal"/>
    <w:link w:val="Heading6Char"/>
    <w:uiPriority w:val="9"/>
    <w:semiHidden/>
    <w:unhideWhenUsed/>
    <w:qFormat/>
    <w:rsid w:val="002F0BE0"/>
    <w:pPr>
      <w:keepNext/>
      <w:keepLines/>
      <w:spacing w:before="40" w:line="259" w:lineRule="auto"/>
      <w:outlineLvl w:val="5"/>
    </w:pPr>
    <w:rPr>
      <w:rFonts w:asciiTheme="majorHAnsi" w:eastAsiaTheme="majorEastAsia" w:hAnsiTheme="majorHAnsi" w:cstheme="majorBidi"/>
      <w:color w:val="243F60" w:themeColor="accent1" w:themeShade="7F"/>
      <w:kern w:val="20"/>
      <w:szCs w:val="20"/>
      <w:lang w:val="en-AU"/>
    </w:rPr>
  </w:style>
  <w:style w:type="paragraph" w:styleId="Heading7">
    <w:name w:val="heading 7"/>
    <w:basedOn w:val="Normal"/>
    <w:next w:val="Normal"/>
    <w:link w:val="Heading7Char"/>
    <w:uiPriority w:val="9"/>
    <w:semiHidden/>
    <w:unhideWhenUsed/>
    <w:qFormat/>
    <w:rsid w:val="002F0BE0"/>
    <w:pPr>
      <w:keepNext/>
      <w:keepLines/>
      <w:spacing w:before="40" w:line="259" w:lineRule="auto"/>
      <w:outlineLvl w:val="6"/>
    </w:pPr>
    <w:rPr>
      <w:rFonts w:asciiTheme="majorHAnsi" w:eastAsiaTheme="majorEastAsia" w:hAnsiTheme="majorHAnsi" w:cstheme="majorBidi"/>
      <w:i/>
      <w:iCs/>
      <w:color w:val="243F60" w:themeColor="accent1" w:themeShade="7F"/>
      <w:kern w:val="20"/>
      <w:szCs w:val="20"/>
      <w:lang w:val="en-AU"/>
    </w:rPr>
  </w:style>
  <w:style w:type="paragraph" w:styleId="Heading8">
    <w:name w:val="heading 8"/>
    <w:basedOn w:val="Normal"/>
    <w:next w:val="Normal"/>
    <w:link w:val="Heading8Char"/>
    <w:uiPriority w:val="9"/>
    <w:semiHidden/>
    <w:unhideWhenUsed/>
    <w:qFormat/>
    <w:rsid w:val="002F0BE0"/>
    <w:pPr>
      <w:keepNext/>
      <w:keepLines/>
      <w:spacing w:before="40" w:line="259" w:lineRule="auto"/>
      <w:outlineLvl w:val="7"/>
    </w:pPr>
    <w:rPr>
      <w:rFonts w:asciiTheme="majorHAnsi" w:eastAsiaTheme="majorEastAsia" w:hAnsiTheme="majorHAnsi" w:cstheme="majorBidi"/>
      <w:color w:val="272727" w:themeColor="text1" w:themeTint="D8"/>
      <w:kern w:val="20"/>
      <w:sz w:val="21"/>
      <w:szCs w:val="21"/>
      <w:lang w:val="en-AU"/>
    </w:rPr>
  </w:style>
  <w:style w:type="paragraph" w:styleId="Heading9">
    <w:name w:val="heading 9"/>
    <w:basedOn w:val="Normal"/>
    <w:next w:val="Normal"/>
    <w:link w:val="Heading9Char"/>
    <w:uiPriority w:val="9"/>
    <w:semiHidden/>
    <w:unhideWhenUsed/>
    <w:qFormat/>
    <w:rsid w:val="002F0BE0"/>
    <w:pPr>
      <w:keepNext/>
      <w:keepLines/>
      <w:spacing w:before="40" w:line="259" w:lineRule="auto"/>
      <w:outlineLvl w:val="8"/>
    </w:pPr>
    <w:rPr>
      <w:rFonts w:asciiTheme="majorHAnsi" w:eastAsiaTheme="majorEastAsia" w:hAnsiTheme="majorHAnsi" w:cstheme="majorBidi"/>
      <w:i/>
      <w:iCs/>
      <w:color w:val="272727" w:themeColor="text1" w:themeTint="D8"/>
      <w:kern w:val="20"/>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edcentaur1">
    <w:name w:val="Redcentaur1"/>
    <w:basedOn w:val="TableNormal"/>
    <w:uiPriority w:val="99"/>
    <w:rsid w:val="00E95598"/>
    <w:pPr>
      <w:spacing w:after="0" w:line="240" w:lineRule="auto"/>
    </w:p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2679F"/>
    <w:rPr>
      <w:sz w:val="16"/>
      <w:szCs w:val="16"/>
    </w:rPr>
  </w:style>
  <w:style w:type="paragraph" w:styleId="CommentText">
    <w:name w:val="annotation text"/>
    <w:basedOn w:val="Normal"/>
    <w:link w:val="CommentTextChar"/>
    <w:uiPriority w:val="99"/>
    <w:semiHidden/>
    <w:unhideWhenUsed/>
    <w:rsid w:val="00C2679F"/>
    <w:rPr>
      <w:szCs w:val="20"/>
    </w:rPr>
  </w:style>
  <w:style w:type="character" w:customStyle="1" w:styleId="CommentTextChar">
    <w:name w:val="Comment Text Char"/>
    <w:basedOn w:val="DefaultParagraphFont"/>
    <w:link w:val="CommentText"/>
    <w:uiPriority w:val="99"/>
    <w:semiHidden/>
    <w:rsid w:val="00C2679F"/>
    <w:rPr>
      <w:rFonts w:ascii="Arial" w:eastAsia="Times New Roman" w:hAnsi="Arial" w:cs="Arial"/>
      <w:sz w:val="20"/>
      <w:szCs w:val="20"/>
    </w:rPr>
  </w:style>
  <w:style w:type="paragraph" w:styleId="BalloonText">
    <w:name w:val="Balloon Text"/>
    <w:basedOn w:val="Normal"/>
    <w:link w:val="BalloonTextChar"/>
    <w:uiPriority w:val="99"/>
    <w:semiHidden/>
    <w:unhideWhenUsed/>
    <w:rsid w:val="00C2679F"/>
    <w:rPr>
      <w:rFonts w:ascii="Tahoma" w:hAnsi="Tahoma" w:cs="Tahoma"/>
      <w:sz w:val="16"/>
      <w:szCs w:val="16"/>
    </w:rPr>
  </w:style>
  <w:style w:type="character" w:customStyle="1" w:styleId="BalloonTextChar">
    <w:name w:val="Balloon Text Char"/>
    <w:basedOn w:val="DefaultParagraphFont"/>
    <w:link w:val="BalloonText"/>
    <w:uiPriority w:val="99"/>
    <w:semiHidden/>
    <w:rsid w:val="00C2679F"/>
    <w:rPr>
      <w:rFonts w:ascii="Tahoma" w:eastAsia="Times New Roman" w:hAnsi="Tahoma" w:cs="Tahoma"/>
      <w:sz w:val="16"/>
      <w:szCs w:val="16"/>
    </w:rPr>
  </w:style>
  <w:style w:type="paragraph" w:styleId="Title">
    <w:name w:val="Title"/>
    <w:basedOn w:val="Normal"/>
    <w:next w:val="Normal"/>
    <w:link w:val="TitleChar"/>
    <w:uiPriority w:val="10"/>
    <w:qFormat/>
    <w:rsid w:val="00C2679F"/>
    <w:pPr>
      <w:spacing w:after="240"/>
      <w:jc w:val="center"/>
    </w:pPr>
    <w:rPr>
      <w:b/>
      <w:caps/>
      <w:sz w:val="24"/>
      <w:szCs w:val="22"/>
    </w:rPr>
  </w:style>
  <w:style w:type="character" w:customStyle="1" w:styleId="TitleChar">
    <w:name w:val="Title Char"/>
    <w:basedOn w:val="DefaultParagraphFont"/>
    <w:link w:val="Title"/>
    <w:uiPriority w:val="10"/>
    <w:rsid w:val="00C2679F"/>
    <w:rPr>
      <w:rFonts w:ascii="Arial" w:eastAsia="Times New Roman" w:hAnsi="Arial" w:cs="Arial"/>
      <w:b/>
      <w:caps/>
      <w:sz w:val="24"/>
    </w:rPr>
  </w:style>
  <w:style w:type="paragraph" w:customStyle="1" w:styleId="AuthorsName">
    <w:name w:val="Author's Name"/>
    <w:basedOn w:val="Normal"/>
    <w:link w:val="AuthorsNameChar"/>
    <w:qFormat/>
    <w:rsid w:val="00C2679F"/>
    <w:pPr>
      <w:jc w:val="center"/>
    </w:pPr>
    <w:rPr>
      <w:rFonts w:ascii="Calibri" w:hAnsi="Calibri"/>
      <w:sz w:val="22"/>
      <w:szCs w:val="22"/>
    </w:rPr>
  </w:style>
  <w:style w:type="character" w:customStyle="1" w:styleId="Heading1Char">
    <w:name w:val="Heading 1 Char"/>
    <w:basedOn w:val="DefaultParagraphFont"/>
    <w:link w:val="Heading1"/>
    <w:uiPriority w:val="9"/>
    <w:rsid w:val="0068012F"/>
    <w:rPr>
      <w:rFonts w:ascii="Arial" w:eastAsia="Times New Roman" w:hAnsi="Arial" w:cs="Arial"/>
      <w:b/>
      <w:caps/>
      <w:sz w:val="24"/>
      <w:szCs w:val="24"/>
    </w:rPr>
  </w:style>
  <w:style w:type="character" w:customStyle="1" w:styleId="AuthorsNameChar">
    <w:name w:val="Author's Name Char"/>
    <w:basedOn w:val="DefaultParagraphFont"/>
    <w:link w:val="AuthorsName"/>
    <w:rsid w:val="00C2679F"/>
    <w:rPr>
      <w:rFonts w:ascii="Calibri" w:eastAsia="Times New Roman" w:hAnsi="Calibri" w:cs="Arial"/>
    </w:rPr>
  </w:style>
  <w:style w:type="paragraph" w:customStyle="1" w:styleId="Text">
    <w:name w:val="Text"/>
    <w:basedOn w:val="Normal"/>
    <w:link w:val="TextChar"/>
    <w:qFormat/>
    <w:rsid w:val="0068012F"/>
    <w:pPr>
      <w:spacing w:after="240" w:line="300" w:lineRule="auto"/>
      <w:jc w:val="both"/>
    </w:pPr>
    <w:rPr>
      <w:sz w:val="24"/>
    </w:rPr>
  </w:style>
  <w:style w:type="paragraph" w:customStyle="1" w:styleId="Subheading">
    <w:name w:val="Subheading"/>
    <w:basedOn w:val="Normal"/>
    <w:link w:val="SubheadingChar"/>
    <w:qFormat/>
    <w:rsid w:val="0068012F"/>
    <w:pPr>
      <w:keepNext/>
      <w:spacing w:before="480" w:after="240"/>
      <w:jc w:val="both"/>
    </w:pPr>
    <w:rPr>
      <w:b/>
      <w:caps/>
      <w:sz w:val="24"/>
    </w:rPr>
  </w:style>
  <w:style w:type="character" w:customStyle="1" w:styleId="TextChar">
    <w:name w:val="Text Char"/>
    <w:basedOn w:val="DefaultParagraphFont"/>
    <w:link w:val="Text"/>
    <w:rsid w:val="0068012F"/>
    <w:rPr>
      <w:rFonts w:ascii="Arial" w:eastAsia="Times New Roman" w:hAnsi="Arial" w:cs="Arial"/>
      <w:sz w:val="24"/>
      <w:szCs w:val="24"/>
    </w:rPr>
  </w:style>
  <w:style w:type="paragraph" w:customStyle="1" w:styleId="Numbernotes">
    <w:name w:val="Number notes"/>
    <w:basedOn w:val="Normal"/>
    <w:link w:val="NumbernotesChar"/>
    <w:qFormat/>
    <w:rsid w:val="00B40089"/>
    <w:rPr>
      <w:sz w:val="18"/>
      <w:szCs w:val="18"/>
      <w:vertAlign w:val="superscript"/>
    </w:rPr>
  </w:style>
  <w:style w:type="character" w:customStyle="1" w:styleId="SubheadingChar">
    <w:name w:val="Subheading Char"/>
    <w:basedOn w:val="DefaultParagraphFont"/>
    <w:link w:val="Subheading"/>
    <w:rsid w:val="0068012F"/>
    <w:rPr>
      <w:rFonts w:ascii="Arial" w:eastAsia="Times New Roman" w:hAnsi="Arial" w:cs="Arial"/>
      <w:b/>
      <w:caps/>
      <w:sz w:val="24"/>
      <w:szCs w:val="24"/>
    </w:rPr>
  </w:style>
  <w:style w:type="paragraph" w:customStyle="1" w:styleId="Bibliographyreferences">
    <w:name w:val="Bibliography references"/>
    <w:basedOn w:val="Normal"/>
    <w:link w:val="BibliographyreferencesChar"/>
    <w:qFormat/>
    <w:rsid w:val="00B40089"/>
    <w:pPr>
      <w:spacing w:after="240"/>
      <w:jc w:val="both"/>
    </w:pPr>
    <w:rPr>
      <w:sz w:val="24"/>
    </w:rPr>
  </w:style>
  <w:style w:type="character" w:customStyle="1" w:styleId="NumbernotesChar">
    <w:name w:val="Number notes Char"/>
    <w:basedOn w:val="DefaultParagraphFont"/>
    <w:link w:val="Numbernotes"/>
    <w:rsid w:val="00B40089"/>
    <w:rPr>
      <w:rFonts w:ascii="Arial" w:eastAsia="Times New Roman" w:hAnsi="Arial" w:cs="Arial"/>
      <w:sz w:val="18"/>
      <w:szCs w:val="18"/>
      <w:vertAlign w:val="superscript"/>
    </w:rPr>
  </w:style>
  <w:style w:type="character" w:customStyle="1" w:styleId="Heading2Char">
    <w:name w:val="Heading 2 Char"/>
    <w:basedOn w:val="DefaultParagraphFont"/>
    <w:link w:val="Heading2"/>
    <w:uiPriority w:val="9"/>
    <w:rsid w:val="0068012F"/>
    <w:rPr>
      <w:rFonts w:ascii="Arial" w:eastAsia="Times New Roman" w:hAnsi="Arial" w:cs="Arial"/>
      <w:b/>
      <w:sz w:val="24"/>
      <w:szCs w:val="24"/>
    </w:rPr>
  </w:style>
  <w:style w:type="character" w:customStyle="1" w:styleId="BibliographyreferencesChar">
    <w:name w:val="Bibliography references Char"/>
    <w:basedOn w:val="DefaultParagraphFont"/>
    <w:link w:val="Bibliographyreferences"/>
    <w:rsid w:val="00B40089"/>
    <w:rPr>
      <w:rFonts w:ascii="Arial" w:eastAsia="Times New Roman" w:hAnsi="Arial" w:cs="Arial"/>
      <w:sz w:val="24"/>
      <w:szCs w:val="24"/>
    </w:rPr>
  </w:style>
  <w:style w:type="paragraph" w:styleId="Header">
    <w:name w:val="header"/>
    <w:basedOn w:val="Normal"/>
    <w:link w:val="HeaderChar"/>
    <w:uiPriority w:val="99"/>
    <w:unhideWhenUsed/>
    <w:rsid w:val="005A55EB"/>
    <w:pPr>
      <w:tabs>
        <w:tab w:val="center" w:pos="4513"/>
        <w:tab w:val="right" w:pos="9026"/>
      </w:tabs>
    </w:pPr>
  </w:style>
  <w:style w:type="character" w:customStyle="1" w:styleId="HeaderChar">
    <w:name w:val="Header Char"/>
    <w:basedOn w:val="DefaultParagraphFont"/>
    <w:link w:val="Header"/>
    <w:uiPriority w:val="99"/>
    <w:rsid w:val="005A55EB"/>
    <w:rPr>
      <w:rFonts w:ascii="Arial" w:eastAsia="Times New Roman" w:hAnsi="Arial" w:cs="Arial"/>
      <w:sz w:val="20"/>
      <w:szCs w:val="24"/>
    </w:rPr>
  </w:style>
  <w:style w:type="paragraph" w:styleId="Footer">
    <w:name w:val="footer"/>
    <w:basedOn w:val="Normal"/>
    <w:link w:val="FooterChar"/>
    <w:uiPriority w:val="99"/>
    <w:unhideWhenUsed/>
    <w:rsid w:val="005A55EB"/>
    <w:pPr>
      <w:tabs>
        <w:tab w:val="center" w:pos="4513"/>
        <w:tab w:val="right" w:pos="9026"/>
      </w:tabs>
    </w:pPr>
  </w:style>
  <w:style w:type="character" w:customStyle="1" w:styleId="FooterChar">
    <w:name w:val="Footer Char"/>
    <w:basedOn w:val="DefaultParagraphFont"/>
    <w:link w:val="Footer"/>
    <w:uiPriority w:val="99"/>
    <w:rsid w:val="005A55EB"/>
    <w:rPr>
      <w:rFonts w:ascii="Arial" w:eastAsia="Times New Roman" w:hAnsi="Arial" w:cs="Arial"/>
      <w:sz w:val="20"/>
      <w:szCs w:val="24"/>
    </w:rPr>
  </w:style>
  <w:style w:type="paragraph" w:customStyle="1" w:styleId="PageNumber1">
    <w:name w:val="Page Number1"/>
    <w:basedOn w:val="Footer"/>
    <w:link w:val="PagenumberChar"/>
    <w:qFormat/>
    <w:rsid w:val="005A55EB"/>
    <w:pPr>
      <w:jc w:val="center"/>
    </w:pPr>
    <w:rPr>
      <w:sz w:val="24"/>
    </w:rPr>
  </w:style>
  <w:style w:type="paragraph" w:customStyle="1" w:styleId="copyright">
    <w:name w:val="copyright"/>
    <w:basedOn w:val="PageNumber1"/>
    <w:link w:val="copyrightChar"/>
    <w:qFormat/>
    <w:rsid w:val="005A55EB"/>
    <w:pPr>
      <w:jc w:val="left"/>
    </w:pPr>
    <w:rPr>
      <w:sz w:val="20"/>
      <w:szCs w:val="20"/>
    </w:rPr>
  </w:style>
  <w:style w:type="character" w:customStyle="1" w:styleId="PagenumberChar">
    <w:name w:val="Page number Char"/>
    <w:basedOn w:val="FooterChar"/>
    <w:link w:val="PageNumber1"/>
    <w:rsid w:val="005A55EB"/>
    <w:rPr>
      <w:rFonts w:ascii="Arial" w:eastAsia="Times New Roman" w:hAnsi="Arial" w:cs="Arial"/>
      <w:sz w:val="24"/>
      <w:szCs w:val="24"/>
    </w:rPr>
  </w:style>
  <w:style w:type="character" w:styleId="Emphasis">
    <w:name w:val="Emphasis"/>
    <w:basedOn w:val="DefaultParagraphFont"/>
    <w:uiPriority w:val="20"/>
    <w:qFormat/>
    <w:rsid w:val="005A55EB"/>
    <w:rPr>
      <w:i/>
      <w:iCs/>
    </w:rPr>
  </w:style>
  <w:style w:type="character" w:customStyle="1" w:styleId="copyrightChar">
    <w:name w:val="copyright Char"/>
    <w:basedOn w:val="PagenumberChar"/>
    <w:link w:val="copyright"/>
    <w:rsid w:val="005A55EB"/>
    <w:rPr>
      <w:rFonts w:ascii="Arial" w:eastAsia="Times New Roman" w:hAnsi="Arial" w:cs="Arial"/>
      <w:sz w:val="20"/>
      <w:szCs w:val="20"/>
    </w:rPr>
  </w:style>
  <w:style w:type="character" w:styleId="Strong">
    <w:name w:val="Strong"/>
    <w:basedOn w:val="DefaultParagraphFont"/>
    <w:uiPriority w:val="22"/>
    <w:qFormat/>
    <w:rsid w:val="005A55EB"/>
    <w:rPr>
      <w:b/>
      <w:bCs/>
    </w:rPr>
  </w:style>
  <w:style w:type="paragraph" w:styleId="ListParagraph">
    <w:name w:val="List Paragraph"/>
    <w:basedOn w:val="Normal"/>
    <w:uiPriority w:val="34"/>
    <w:qFormat/>
    <w:rsid w:val="005C3C85"/>
    <w:pPr>
      <w:numPr>
        <w:numId w:val="9"/>
      </w:numPr>
      <w:spacing w:after="120" w:line="288" w:lineRule="auto"/>
      <w:ind w:left="0" w:hanging="284"/>
    </w:pPr>
    <w:rPr>
      <w:sz w:val="24"/>
    </w:rPr>
  </w:style>
  <w:style w:type="character" w:customStyle="1" w:styleId="Heading3Char">
    <w:name w:val="Heading 3 Char"/>
    <w:basedOn w:val="DefaultParagraphFont"/>
    <w:link w:val="Heading3"/>
    <w:uiPriority w:val="9"/>
    <w:semiHidden/>
    <w:rsid w:val="002F0BE0"/>
    <w:rPr>
      <w:rFonts w:asciiTheme="majorHAnsi" w:eastAsiaTheme="majorEastAsia" w:hAnsiTheme="majorHAnsi" w:cstheme="majorBidi"/>
      <w:color w:val="243F60" w:themeColor="accent1" w:themeShade="7F"/>
      <w:kern w:val="20"/>
      <w:sz w:val="24"/>
      <w:szCs w:val="24"/>
      <w:lang w:val="en-AU"/>
    </w:rPr>
  </w:style>
  <w:style w:type="character" w:customStyle="1" w:styleId="Heading4Char">
    <w:name w:val="Heading 4 Char"/>
    <w:basedOn w:val="DefaultParagraphFont"/>
    <w:link w:val="Heading4"/>
    <w:uiPriority w:val="9"/>
    <w:semiHidden/>
    <w:rsid w:val="002F0BE0"/>
    <w:rPr>
      <w:rFonts w:asciiTheme="majorHAnsi" w:eastAsiaTheme="majorEastAsia" w:hAnsiTheme="majorHAnsi" w:cstheme="majorBidi"/>
      <w:i/>
      <w:iCs/>
      <w:color w:val="365F91" w:themeColor="accent1" w:themeShade="BF"/>
      <w:kern w:val="20"/>
      <w:sz w:val="20"/>
      <w:szCs w:val="20"/>
      <w:lang w:val="en-AU"/>
    </w:rPr>
  </w:style>
  <w:style w:type="character" w:customStyle="1" w:styleId="Heading5Char">
    <w:name w:val="Heading 5 Char"/>
    <w:basedOn w:val="DefaultParagraphFont"/>
    <w:link w:val="Heading5"/>
    <w:uiPriority w:val="9"/>
    <w:semiHidden/>
    <w:rsid w:val="002F0BE0"/>
    <w:rPr>
      <w:rFonts w:asciiTheme="majorHAnsi" w:eastAsiaTheme="majorEastAsia" w:hAnsiTheme="majorHAnsi" w:cstheme="majorBidi"/>
      <w:color w:val="365F91" w:themeColor="accent1" w:themeShade="BF"/>
      <w:kern w:val="20"/>
      <w:sz w:val="20"/>
      <w:szCs w:val="20"/>
      <w:lang w:val="en-AU"/>
    </w:rPr>
  </w:style>
  <w:style w:type="character" w:customStyle="1" w:styleId="Heading6Char">
    <w:name w:val="Heading 6 Char"/>
    <w:basedOn w:val="DefaultParagraphFont"/>
    <w:link w:val="Heading6"/>
    <w:uiPriority w:val="9"/>
    <w:semiHidden/>
    <w:rsid w:val="002F0BE0"/>
    <w:rPr>
      <w:rFonts w:asciiTheme="majorHAnsi" w:eastAsiaTheme="majorEastAsia" w:hAnsiTheme="majorHAnsi" w:cstheme="majorBidi"/>
      <w:color w:val="243F60" w:themeColor="accent1" w:themeShade="7F"/>
      <w:kern w:val="20"/>
      <w:sz w:val="20"/>
      <w:szCs w:val="20"/>
      <w:lang w:val="en-AU"/>
    </w:rPr>
  </w:style>
  <w:style w:type="character" w:customStyle="1" w:styleId="Heading7Char">
    <w:name w:val="Heading 7 Char"/>
    <w:basedOn w:val="DefaultParagraphFont"/>
    <w:link w:val="Heading7"/>
    <w:uiPriority w:val="9"/>
    <w:semiHidden/>
    <w:rsid w:val="002F0BE0"/>
    <w:rPr>
      <w:rFonts w:asciiTheme="majorHAnsi" w:eastAsiaTheme="majorEastAsia" w:hAnsiTheme="majorHAnsi" w:cstheme="majorBidi"/>
      <w:i/>
      <w:iCs/>
      <w:color w:val="243F60" w:themeColor="accent1" w:themeShade="7F"/>
      <w:kern w:val="20"/>
      <w:sz w:val="20"/>
      <w:szCs w:val="20"/>
      <w:lang w:val="en-AU"/>
    </w:rPr>
  </w:style>
  <w:style w:type="character" w:customStyle="1" w:styleId="Heading8Char">
    <w:name w:val="Heading 8 Char"/>
    <w:basedOn w:val="DefaultParagraphFont"/>
    <w:link w:val="Heading8"/>
    <w:uiPriority w:val="9"/>
    <w:semiHidden/>
    <w:rsid w:val="002F0BE0"/>
    <w:rPr>
      <w:rFonts w:asciiTheme="majorHAnsi" w:eastAsiaTheme="majorEastAsia" w:hAnsiTheme="majorHAnsi" w:cstheme="majorBidi"/>
      <w:color w:val="272727" w:themeColor="text1" w:themeTint="D8"/>
      <w:kern w:val="20"/>
      <w:sz w:val="21"/>
      <w:szCs w:val="21"/>
      <w:lang w:val="en-AU"/>
    </w:rPr>
  </w:style>
  <w:style w:type="character" w:customStyle="1" w:styleId="Heading9Char">
    <w:name w:val="Heading 9 Char"/>
    <w:basedOn w:val="DefaultParagraphFont"/>
    <w:link w:val="Heading9"/>
    <w:uiPriority w:val="9"/>
    <w:semiHidden/>
    <w:rsid w:val="002F0BE0"/>
    <w:rPr>
      <w:rFonts w:asciiTheme="majorHAnsi" w:eastAsiaTheme="majorEastAsia" w:hAnsiTheme="majorHAnsi" w:cstheme="majorBidi"/>
      <w:i/>
      <w:iCs/>
      <w:color w:val="272727" w:themeColor="text1" w:themeTint="D8"/>
      <w:kern w:val="20"/>
      <w:sz w:val="21"/>
      <w:szCs w:val="21"/>
      <w:lang w:val="en-AU"/>
    </w:rPr>
  </w:style>
  <w:style w:type="paragraph" w:styleId="FootnoteText">
    <w:name w:val="footnote text"/>
    <w:basedOn w:val="Normal"/>
    <w:link w:val="FootnoteTextChar"/>
    <w:semiHidden/>
    <w:rsid w:val="002F0BE0"/>
    <w:rPr>
      <w:rFonts w:ascii="Times New Roman" w:hAnsi="Times New Roman" w:cs="Times New Roman"/>
      <w:szCs w:val="20"/>
      <w:lang w:val="en-AU" w:eastAsia="en-AU"/>
    </w:rPr>
  </w:style>
  <w:style w:type="character" w:customStyle="1" w:styleId="FootnoteTextChar">
    <w:name w:val="Footnote Text Char"/>
    <w:basedOn w:val="DefaultParagraphFont"/>
    <w:link w:val="FootnoteText"/>
    <w:semiHidden/>
    <w:rsid w:val="002F0BE0"/>
    <w:rPr>
      <w:rFonts w:ascii="Times New Roman" w:eastAsia="Times New Roman" w:hAnsi="Times New Roman" w:cs="Times New Roman"/>
      <w:sz w:val="20"/>
      <w:szCs w:val="20"/>
      <w:lang w:val="en-AU" w:eastAsia="en-AU"/>
    </w:rPr>
  </w:style>
  <w:style w:type="character" w:styleId="FootnoteReference">
    <w:name w:val="footnote reference"/>
    <w:semiHidden/>
    <w:rsid w:val="002F0B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693</TotalTime>
  <Pages>18</Pages>
  <Words>4664</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Reffin</dc:creator>
  <cp:lastModifiedBy>Wayne M Davies</cp:lastModifiedBy>
  <cp:revision>16</cp:revision>
  <dcterms:created xsi:type="dcterms:W3CDTF">2014-07-28T05:19:00Z</dcterms:created>
  <dcterms:modified xsi:type="dcterms:W3CDTF">2014-08-28T23:02:00Z</dcterms:modified>
</cp:coreProperties>
</file>